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129"/>
        <w:gridCol w:w="8505"/>
      </w:tblGrid>
      <w:tr w:rsidR="0087129B" w:rsidRPr="0034377F" w:rsidTr="00181C7C">
        <w:tc>
          <w:tcPr>
            <w:tcW w:w="1129" w:type="dxa"/>
          </w:tcPr>
          <w:p w:rsidR="0087129B" w:rsidRDefault="0087129B" w:rsidP="00181C7C">
            <w:pPr>
              <w:jc w:val="center"/>
              <w:rPr>
                <w:rFonts w:cstheme="minorHAnsi"/>
                <w:b/>
                <w:color w:val="2F5496" w:themeColor="accent1" w:themeShade="BF"/>
                <w:sz w:val="28"/>
              </w:rPr>
            </w:pPr>
            <w:r>
              <w:rPr>
                <w:rFonts w:cstheme="minorHAnsi"/>
                <w:b/>
                <w:noProof/>
                <w:color w:val="2F5496" w:themeColor="accent1" w:themeShade="BF"/>
                <w:sz w:val="20"/>
                <w:lang w:eastAsia="fr-FR"/>
              </w:rPr>
              <w:drawing>
                <wp:inline distT="0" distB="0" distL="0" distR="0" wp14:anchorId="31EBB338" wp14:editId="3A474B2D">
                  <wp:extent cx="478800" cy="684000"/>
                  <wp:effectExtent l="0" t="0" r="0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-2019_logo_academie_grenoble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87129B" w:rsidRDefault="0087129B" w:rsidP="00181C7C">
            <w:pPr>
              <w:jc w:val="center"/>
              <w:rPr>
                <w:rFonts w:cstheme="minorHAnsi"/>
                <w:b/>
                <w:color w:val="2F5496" w:themeColor="accent1" w:themeShade="BF"/>
                <w:sz w:val="28"/>
              </w:rPr>
            </w:pPr>
            <w:r>
              <w:rPr>
                <w:rFonts w:cstheme="minorHAnsi"/>
                <w:b/>
                <w:color w:val="2F5496" w:themeColor="accent1" w:themeShade="BF"/>
                <w:sz w:val="28"/>
              </w:rPr>
              <w:t>Continuité pédagogique</w:t>
            </w:r>
          </w:p>
          <w:p w:rsidR="0087129B" w:rsidRDefault="0087129B" w:rsidP="00181C7C">
            <w:pPr>
              <w:jc w:val="center"/>
              <w:rPr>
                <w:rFonts w:cstheme="minorHAnsi"/>
                <w:b/>
                <w:color w:val="2F5496" w:themeColor="accent1" w:themeShade="BF"/>
                <w:sz w:val="28"/>
              </w:rPr>
            </w:pPr>
          </w:p>
          <w:p w:rsidR="0087129B" w:rsidRDefault="0087129B" w:rsidP="00181C7C">
            <w:pPr>
              <w:jc w:val="center"/>
              <w:rPr>
                <w:rFonts w:cstheme="minorHAnsi"/>
                <w:b/>
                <w:color w:val="2F5496" w:themeColor="accent1" w:themeShade="BF"/>
                <w:sz w:val="28"/>
              </w:rPr>
            </w:pPr>
            <w:r w:rsidRPr="0002179D">
              <w:rPr>
                <w:rFonts w:cstheme="minorHAnsi"/>
                <w:b/>
                <w:color w:val="2F5496" w:themeColor="accent1" w:themeShade="BF"/>
                <w:sz w:val="28"/>
              </w:rPr>
              <w:t xml:space="preserve">Dispositif « 2S2C » </w:t>
            </w:r>
          </w:p>
          <w:p w:rsidR="0087129B" w:rsidRPr="0002179D" w:rsidRDefault="0087129B" w:rsidP="00181C7C">
            <w:pPr>
              <w:jc w:val="center"/>
              <w:rPr>
                <w:rFonts w:cstheme="minorHAnsi"/>
                <w:b/>
                <w:color w:val="2F5496" w:themeColor="accent1" w:themeShade="BF"/>
                <w:sz w:val="28"/>
              </w:rPr>
            </w:pPr>
            <w:r w:rsidRPr="0002179D">
              <w:rPr>
                <w:rFonts w:cstheme="minorHAnsi"/>
                <w:b/>
                <w:color w:val="2F5496" w:themeColor="accent1" w:themeShade="BF"/>
                <w:sz w:val="28"/>
              </w:rPr>
              <w:t>(Sport – Santé – Culture – Civisme)</w:t>
            </w:r>
          </w:p>
          <w:p w:rsidR="0087129B" w:rsidRPr="00A75CC8" w:rsidRDefault="0087129B" w:rsidP="00181C7C">
            <w:pPr>
              <w:jc w:val="center"/>
              <w:rPr>
                <w:rFonts w:cstheme="minorHAnsi"/>
                <w:b/>
                <w:color w:val="2F5496" w:themeColor="accent1" w:themeShade="BF"/>
                <w:sz w:val="20"/>
              </w:rPr>
            </w:pPr>
          </w:p>
        </w:tc>
      </w:tr>
    </w:tbl>
    <w:p w:rsidR="0087129B" w:rsidRPr="00A75CC8" w:rsidRDefault="0087129B" w:rsidP="0087129B">
      <w:pPr>
        <w:shd w:val="clear" w:color="auto" w:fill="BDD6EE" w:themeFill="accent5" w:themeFillTint="66"/>
        <w:jc w:val="center"/>
        <w:rPr>
          <w:rFonts w:cs="Times New Roman"/>
          <w:b/>
          <w:bCs/>
        </w:rPr>
      </w:pPr>
    </w:p>
    <w:p w:rsidR="0087129B" w:rsidRDefault="0087129B" w:rsidP="0087129B">
      <w:pPr>
        <w:shd w:val="clear" w:color="auto" w:fill="BDD6EE" w:themeFill="accent5" w:themeFillTint="66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PROTOCOLE PEDAGOGIQUE </w:t>
      </w:r>
    </w:p>
    <w:p w:rsidR="0087129B" w:rsidRPr="0002179D" w:rsidRDefault="0087129B" w:rsidP="0087129B">
      <w:pPr>
        <w:shd w:val="clear" w:color="auto" w:fill="BDD6EE" w:themeFill="accent5" w:themeFillTint="66"/>
        <w:spacing w:after="80"/>
        <w:jc w:val="center"/>
        <w:rPr>
          <w:rFonts w:cs="Times New Roman"/>
          <w:b/>
          <w:bCs/>
        </w:rPr>
      </w:pPr>
    </w:p>
    <w:p w:rsidR="0087129B" w:rsidRPr="0002179D" w:rsidRDefault="0087129B" w:rsidP="0087129B">
      <w:pPr>
        <w:spacing w:after="80"/>
        <w:rPr>
          <w:rFonts w:cs="Times New Roman"/>
        </w:rPr>
      </w:pPr>
    </w:p>
    <w:p w:rsidR="0087129B" w:rsidRPr="0002179D" w:rsidRDefault="0087129B" w:rsidP="0087129B">
      <w:pPr>
        <w:spacing w:after="80"/>
        <w:jc w:val="both"/>
        <w:rPr>
          <w:rFonts w:cs="Times New Roman"/>
          <w:b/>
          <w:bCs/>
        </w:rPr>
      </w:pPr>
      <w:r w:rsidRPr="0002179D">
        <w:rPr>
          <w:rFonts w:cs="Times New Roman"/>
          <w:b/>
          <w:bCs/>
        </w:rPr>
        <w:t>Objectifs de ce document :</w:t>
      </w:r>
    </w:p>
    <w:p w:rsidR="0087129B" w:rsidRPr="0002179D" w:rsidRDefault="0087129B" w:rsidP="0087129B">
      <w:pPr>
        <w:pStyle w:val="Paragraphedeliste"/>
        <w:numPr>
          <w:ilvl w:val="0"/>
          <w:numId w:val="1"/>
        </w:numPr>
        <w:spacing w:after="80"/>
        <w:jc w:val="both"/>
        <w:rPr>
          <w:rFonts w:cs="Times New Roman"/>
        </w:rPr>
      </w:pPr>
      <w:r w:rsidRPr="0002179D">
        <w:rPr>
          <w:rFonts w:cs="Times New Roman"/>
        </w:rPr>
        <w:t>Proposer un cadre pour la mise en œuvre pédagogique du dispositif « 2S2C ».</w:t>
      </w:r>
    </w:p>
    <w:p w:rsidR="0087129B" w:rsidRPr="0002179D" w:rsidRDefault="0087129B" w:rsidP="0087129B">
      <w:pPr>
        <w:pStyle w:val="Paragraphedeliste"/>
        <w:numPr>
          <w:ilvl w:val="0"/>
          <w:numId w:val="1"/>
        </w:numPr>
        <w:spacing w:after="80"/>
        <w:jc w:val="both"/>
        <w:rPr>
          <w:rFonts w:cs="Times New Roman"/>
        </w:rPr>
      </w:pPr>
      <w:r w:rsidRPr="0002179D">
        <w:rPr>
          <w:rFonts w:cs="Times New Roman"/>
        </w:rPr>
        <w:t>Déterminer des priorités pédagogiques et organisationnelles.</w:t>
      </w:r>
    </w:p>
    <w:p w:rsidR="0087129B" w:rsidRPr="0002179D" w:rsidRDefault="0087129B" w:rsidP="0087129B">
      <w:pPr>
        <w:pStyle w:val="Paragraphedeliste"/>
        <w:numPr>
          <w:ilvl w:val="0"/>
          <w:numId w:val="1"/>
        </w:numPr>
        <w:spacing w:after="80"/>
        <w:jc w:val="both"/>
        <w:rPr>
          <w:rFonts w:cs="Times New Roman"/>
        </w:rPr>
      </w:pPr>
      <w:r w:rsidRPr="0002179D">
        <w:rPr>
          <w:rFonts w:cs="Times New Roman"/>
        </w:rPr>
        <w:t>Souligner les points de vigilance nécessaires</w:t>
      </w:r>
      <w:r>
        <w:rPr>
          <w:rFonts w:cs="Times New Roman"/>
        </w:rPr>
        <w:t xml:space="preserve"> </w:t>
      </w:r>
      <w:r w:rsidRPr="0002179D">
        <w:rPr>
          <w:rFonts w:cs="Times New Roman"/>
        </w:rPr>
        <w:t>dans le cadre de l’accueil des élèves.</w:t>
      </w:r>
    </w:p>
    <w:p w:rsidR="0087129B" w:rsidRPr="0002179D" w:rsidRDefault="0087129B" w:rsidP="0087129B">
      <w:pPr>
        <w:spacing w:after="80"/>
        <w:jc w:val="both"/>
        <w:rPr>
          <w:rFonts w:cs="Times New Roman"/>
        </w:rPr>
      </w:pPr>
    </w:p>
    <w:p w:rsidR="0087129B" w:rsidRPr="004D1245" w:rsidRDefault="0087129B" w:rsidP="0087129B">
      <w:pPr>
        <w:spacing w:after="80"/>
        <w:jc w:val="both"/>
        <w:rPr>
          <w:rFonts w:cs="Times New Roman"/>
          <w:b/>
          <w:bCs/>
        </w:rPr>
      </w:pPr>
      <w:r w:rsidRPr="0002179D">
        <w:rPr>
          <w:rFonts w:cs="Times New Roman"/>
          <w:b/>
          <w:bCs/>
        </w:rPr>
        <w:t>« 2S2C » :  définition spécifique dans le cadre imposé par le dispositif sanitaire</w:t>
      </w:r>
    </w:p>
    <w:p w:rsidR="0087129B" w:rsidRPr="0002179D" w:rsidRDefault="0087129B" w:rsidP="0087129B">
      <w:pPr>
        <w:pStyle w:val="Paragraphedeliste"/>
        <w:numPr>
          <w:ilvl w:val="0"/>
          <w:numId w:val="2"/>
        </w:numPr>
        <w:spacing w:after="80"/>
        <w:jc w:val="both"/>
        <w:rPr>
          <w:rFonts w:cs="Times New Roman"/>
        </w:rPr>
      </w:pPr>
      <w:r w:rsidRPr="0002179D">
        <w:rPr>
          <w:rFonts w:cs="Times New Roman"/>
        </w:rPr>
        <w:t>Le dispositif « 2S2C » définit un cadre d’activités pour les élèves accueillis, sur le temps scolaire, en lien avec les collectivités territoriales et/ou des structures associatives.</w:t>
      </w:r>
    </w:p>
    <w:p w:rsidR="0087129B" w:rsidRPr="0002179D" w:rsidRDefault="0087129B" w:rsidP="0087129B">
      <w:pPr>
        <w:pStyle w:val="Paragraphedeliste"/>
        <w:numPr>
          <w:ilvl w:val="0"/>
          <w:numId w:val="2"/>
        </w:numPr>
        <w:spacing w:after="80"/>
        <w:jc w:val="both"/>
        <w:rPr>
          <w:rFonts w:eastAsiaTheme="minorEastAsia"/>
        </w:rPr>
      </w:pPr>
      <w:r w:rsidRPr="0002179D">
        <w:rPr>
          <w:rFonts w:cs="Times New Roman"/>
        </w:rPr>
        <w:t>Ces activités intègrent quatre priorités éducatives : la santé, le sport, la culture et le civisme.</w:t>
      </w:r>
    </w:p>
    <w:p w:rsidR="0087129B" w:rsidRPr="0002179D" w:rsidRDefault="0087129B" w:rsidP="0087129B">
      <w:pPr>
        <w:pStyle w:val="Paragraphedeliste"/>
        <w:numPr>
          <w:ilvl w:val="0"/>
          <w:numId w:val="2"/>
        </w:numPr>
        <w:spacing w:after="80"/>
        <w:jc w:val="both"/>
        <w:rPr>
          <w:rFonts w:cs="Times New Roman"/>
        </w:rPr>
      </w:pPr>
      <w:r w:rsidRPr="0002179D">
        <w:rPr>
          <w:rFonts w:cs="Times New Roman"/>
        </w:rPr>
        <w:t xml:space="preserve">Elles participent à l’obligation d’instruction du fait des contraintes sanitaires définies par </w:t>
      </w:r>
      <w:hyperlink r:id="rId8" w:history="1">
        <w:r w:rsidRPr="0002179D">
          <w:rPr>
            <w:rStyle w:val="Lienhypertexte"/>
            <w:rFonts w:cs="Times New Roman"/>
          </w:rPr>
          <w:t>le protocole sanitaire</w:t>
        </w:r>
      </w:hyperlink>
      <w:r w:rsidRPr="0002179D">
        <w:rPr>
          <w:rFonts w:cs="Times New Roman"/>
        </w:rPr>
        <w:t xml:space="preserve"> qui s’impose à tous.</w:t>
      </w:r>
    </w:p>
    <w:p w:rsidR="0087129B" w:rsidRPr="0002179D" w:rsidRDefault="0087129B" w:rsidP="0087129B">
      <w:pPr>
        <w:pStyle w:val="Paragraphedeliste"/>
        <w:numPr>
          <w:ilvl w:val="0"/>
          <w:numId w:val="2"/>
        </w:numPr>
        <w:spacing w:after="80"/>
        <w:jc w:val="both"/>
        <w:rPr>
          <w:rFonts w:eastAsiaTheme="minorEastAsia"/>
          <w:color w:val="000000" w:themeColor="text1"/>
        </w:rPr>
      </w:pPr>
      <w:r w:rsidRPr="0002179D">
        <w:rPr>
          <w:rFonts w:cs="Times New Roman"/>
        </w:rPr>
        <w:t xml:space="preserve">Le pilotage </w:t>
      </w:r>
      <w:r>
        <w:rPr>
          <w:rFonts w:cs="Times New Roman"/>
        </w:rPr>
        <w:t xml:space="preserve">départemental </w:t>
      </w:r>
      <w:r w:rsidRPr="0002179D">
        <w:rPr>
          <w:rFonts w:cs="Times New Roman"/>
        </w:rPr>
        <w:t>du dispositif s’organise sous l’autorité d</w:t>
      </w:r>
      <w:r>
        <w:rPr>
          <w:rFonts w:cs="Times New Roman"/>
        </w:rPr>
        <w:t>e l’IA-</w:t>
      </w:r>
      <w:r w:rsidRPr="0002179D">
        <w:rPr>
          <w:rFonts w:cs="Times New Roman"/>
        </w:rPr>
        <w:t>DASEN.</w:t>
      </w:r>
    </w:p>
    <w:p w:rsidR="0087129B" w:rsidRPr="0002179D" w:rsidRDefault="0087129B" w:rsidP="0087129B">
      <w:pPr>
        <w:pStyle w:val="Paragraphedeliste"/>
        <w:numPr>
          <w:ilvl w:val="0"/>
          <w:numId w:val="2"/>
        </w:numPr>
        <w:spacing w:after="80"/>
        <w:jc w:val="both"/>
      </w:pPr>
      <w:r>
        <w:rPr>
          <w:rFonts w:cs="Times New Roman"/>
        </w:rPr>
        <w:t>Les activités s’appuient éventuellement sur l’intervention de partenaires extérieurs.</w:t>
      </w:r>
    </w:p>
    <w:p w:rsidR="0087129B" w:rsidRPr="006B455F" w:rsidRDefault="0087129B" w:rsidP="0087129B">
      <w:pPr>
        <w:pStyle w:val="Paragraphedeliste"/>
        <w:numPr>
          <w:ilvl w:val="0"/>
          <w:numId w:val="2"/>
        </w:numPr>
        <w:spacing w:after="80"/>
        <w:jc w:val="both"/>
      </w:pPr>
      <w:r w:rsidRPr="0002179D">
        <w:rPr>
          <w:rFonts w:cs="Times New Roman"/>
        </w:rPr>
        <w:t xml:space="preserve">Ces interventions font l’objet d’une </w:t>
      </w:r>
      <w:r w:rsidRPr="006B455F">
        <w:rPr>
          <w:rFonts w:cs="Times New Roman"/>
        </w:rPr>
        <w:t>convention entre l’IA-DASEN (1</w:t>
      </w:r>
      <w:r w:rsidRPr="006B455F">
        <w:rPr>
          <w:rFonts w:cs="Times New Roman"/>
          <w:vertAlign w:val="superscript"/>
        </w:rPr>
        <w:t>er</w:t>
      </w:r>
      <w:r w:rsidRPr="006B455F">
        <w:rPr>
          <w:rFonts w:cs="Times New Roman"/>
        </w:rPr>
        <w:t xml:space="preserve"> degré) ou l’établissement (2</w:t>
      </w:r>
      <w:r w:rsidRPr="006B455F">
        <w:rPr>
          <w:rFonts w:cs="Times New Roman"/>
          <w:vertAlign w:val="superscript"/>
        </w:rPr>
        <w:t>nd</w:t>
      </w:r>
      <w:r w:rsidRPr="006B455F">
        <w:rPr>
          <w:rFonts w:cs="Times New Roman"/>
        </w:rPr>
        <w:t xml:space="preserve"> degré) et le/s partenaire/s.</w:t>
      </w:r>
    </w:p>
    <w:p w:rsidR="0087129B" w:rsidRPr="0002179D" w:rsidRDefault="0087129B" w:rsidP="0087129B">
      <w:pPr>
        <w:pStyle w:val="Paragraphedeliste"/>
        <w:numPr>
          <w:ilvl w:val="0"/>
          <w:numId w:val="2"/>
        </w:numPr>
        <w:spacing w:after="80"/>
        <w:jc w:val="both"/>
      </w:pPr>
      <w:r>
        <w:rPr>
          <w:rFonts w:cs="Times New Roman"/>
        </w:rPr>
        <w:t>Les enseignants du 2</w:t>
      </w:r>
      <w:r w:rsidRPr="006928C9">
        <w:rPr>
          <w:rFonts w:cs="Times New Roman"/>
          <w:vertAlign w:val="superscript"/>
        </w:rPr>
        <w:t>nd</w:t>
      </w:r>
      <w:r>
        <w:rPr>
          <w:rFonts w:cs="Times New Roman"/>
        </w:rPr>
        <w:t xml:space="preserve"> degré peuvent, sur la base du volontariat, participer aux activités 2S2C dans le 1</w:t>
      </w:r>
      <w:r w:rsidRPr="006928C9">
        <w:rPr>
          <w:rFonts w:cs="Times New Roman"/>
          <w:vertAlign w:val="superscript"/>
        </w:rPr>
        <w:t>er</w:t>
      </w:r>
      <w:r>
        <w:rPr>
          <w:rFonts w:cs="Times New Roman"/>
        </w:rPr>
        <w:t xml:space="preserve"> degré. Dans ce cadre, ils prennent l’attache de leur chef d’établissement qui leur précisera la procédure à suivre. </w:t>
      </w:r>
    </w:p>
    <w:p w:rsidR="0087129B" w:rsidRPr="0002179D" w:rsidRDefault="0087129B" w:rsidP="0087129B">
      <w:pPr>
        <w:spacing w:after="80"/>
        <w:jc w:val="both"/>
        <w:rPr>
          <w:rFonts w:cs="Times New Roman"/>
        </w:rPr>
      </w:pPr>
    </w:p>
    <w:p w:rsidR="0087129B" w:rsidRPr="0002179D" w:rsidRDefault="0087129B" w:rsidP="0087129B">
      <w:pPr>
        <w:spacing w:after="80"/>
        <w:jc w:val="both"/>
        <w:rPr>
          <w:rFonts w:cs="Times New Roman"/>
          <w:b/>
          <w:bCs/>
        </w:rPr>
      </w:pPr>
      <w:r w:rsidRPr="0002179D">
        <w:rPr>
          <w:rFonts w:cs="Times New Roman"/>
          <w:b/>
          <w:bCs/>
        </w:rPr>
        <w:t>Les activités « 2S2C » sont porteuses d’objectifs pédagogiques</w:t>
      </w:r>
    </w:p>
    <w:p w:rsidR="0087129B" w:rsidRPr="0002179D" w:rsidRDefault="0087129B" w:rsidP="0087129B">
      <w:pPr>
        <w:spacing w:after="80"/>
        <w:jc w:val="both"/>
        <w:rPr>
          <w:rFonts w:cs="Times New Roman"/>
        </w:rPr>
      </w:pPr>
      <w:r w:rsidRPr="0002179D">
        <w:rPr>
          <w:rFonts w:cs="Times New Roman"/>
        </w:rPr>
        <w:t xml:space="preserve">Le dispositif « 2S2C » permet d’élargir les possibilités d’accueil des élèves dans les </w:t>
      </w:r>
      <w:r>
        <w:rPr>
          <w:rFonts w:cs="Times New Roman"/>
        </w:rPr>
        <w:t xml:space="preserve">écoles et les </w:t>
      </w:r>
      <w:r w:rsidRPr="0002179D">
        <w:rPr>
          <w:rFonts w:cs="Times New Roman"/>
        </w:rPr>
        <w:t>établissements et de poursuivre autrement les apprentissages en mobilisant les compétences du socle</w:t>
      </w:r>
      <w:r>
        <w:rPr>
          <w:rFonts w:cs="Times New Roman"/>
        </w:rPr>
        <w:t>, autour notamment des parcours éducatifs</w:t>
      </w:r>
      <w:r w:rsidRPr="0002179D">
        <w:rPr>
          <w:rFonts w:cs="Times New Roman"/>
        </w:rPr>
        <w:t xml:space="preserve">. </w:t>
      </w:r>
    </w:p>
    <w:p w:rsidR="0087129B" w:rsidRPr="0002179D" w:rsidRDefault="0087129B" w:rsidP="0087129B">
      <w:pPr>
        <w:spacing w:after="80"/>
        <w:jc w:val="both"/>
        <w:rPr>
          <w:rFonts w:cs="Times New Roman"/>
        </w:rPr>
      </w:pPr>
      <w:r w:rsidRPr="0002179D">
        <w:rPr>
          <w:rFonts w:cs="Times New Roman"/>
        </w:rPr>
        <w:t xml:space="preserve">Il s’agit autant que faire se peut, d’assurer la liaison entre les activités proposées en </w:t>
      </w:r>
      <w:proofErr w:type="spellStart"/>
      <w:r w:rsidRPr="0002179D">
        <w:rPr>
          <w:rFonts w:cs="Times New Roman"/>
        </w:rPr>
        <w:t>distanciel</w:t>
      </w:r>
      <w:proofErr w:type="spellEnd"/>
      <w:r w:rsidRPr="0002179D">
        <w:rPr>
          <w:rFonts w:cs="Times New Roman"/>
        </w:rPr>
        <w:t xml:space="preserve"> et celles du </w:t>
      </w:r>
      <w:r w:rsidRPr="006B455F">
        <w:rPr>
          <w:rFonts w:cs="Times New Roman"/>
        </w:rPr>
        <w:t xml:space="preserve">présentiel et de proposer aux élèves des activités complémentaires aux modalités d’enseignement mises en place lors du </w:t>
      </w:r>
      <w:proofErr w:type="spellStart"/>
      <w:r w:rsidRPr="006B455F">
        <w:rPr>
          <w:rFonts w:cs="Times New Roman"/>
        </w:rPr>
        <w:t>déconfinement</w:t>
      </w:r>
      <w:proofErr w:type="spellEnd"/>
      <w:r w:rsidRPr="006B455F">
        <w:rPr>
          <w:rFonts w:cs="Times New Roman"/>
        </w:rPr>
        <w:t>. Ces activités s'inscrivent dans le temps scolaire et sont en lien avec</w:t>
      </w:r>
      <w:r w:rsidRPr="0002179D">
        <w:rPr>
          <w:rFonts w:cs="Times New Roman"/>
        </w:rPr>
        <w:t xml:space="preserve"> le travail scolaire en visant à :</w:t>
      </w:r>
    </w:p>
    <w:p w:rsidR="0087129B" w:rsidRPr="0002179D" w:rsidRDefault="0087129B" w:rsidP="0087129B">
      <w:pPr>
        <w:pStyle w:val="Paragraphedeliste"/>
        <w:numPr>
          <w:ilvl w:val="0"/>
          <w:numId w:val="6"/>
        </w:numPr>
        <w:spacing w:after="80"/>
        <w:ind w:left="714" w:hanging="357"/>
        <w:jc w:val="both"/>
        <w:rPr>
          <w:rFonts w:eastAsiaTheme="minorEastAsia"/>
        </w:rPr>
      </w:pPr>
      <w:r w:rsidRPr="0002179D">
        <w:rPr>
          <w:rFonts w:cs="Times New Roman"/>
        </w:rPr>
        <w:t>Renforcer le lien social, y compris éventuellement avec leurs camarades restés à domicile ;</w:t>
      </w:r>
    </w:p>
    <w:p w:rsidR="0087129B" w:rsidRPr="0002179D" w:rsidRDefault="0087129B" w:rsidP="0087129B">
      <w:pPr>
        <w:pStyle w:val="Paragraphedeliste"/>
        <w:numPr>
          <w:ilvl w:val="0"/>
          <w:numId w:val="6"/>
        </w:numPr>
        <w:spacing w:after="80"/>
        <w:jc w:val="both"/>
      </w:pPr>
      <w:r w:rsidRPr="0002179D">
        <w:rPr>
          <w:rFonts w:cs="Times New Roman"/>
        </w:rPr>
        <w:t>Comprendre et développer leur civisme, leur appréhension des notions de communauté et d’engagement personnel et collectif ;</w:t>
      </w:r>
    </w:p>
    <w:p w:rsidR="0087129B" w:rsidRPr="0002179D" w:rsidRDefault="0087129B" w:rsidP="0087129B">
      <w:pPr>
        <w:pStyle w:val="Paragraphedeliste"/>
        <w:numPr>
          <w:ilvl w:val="0"/>
          <w:numId w:val="6"/>
        </w:numPr>
        <w:spacing w:after="80"/>
        <w:jc w:val="both"/>
      </w:pPr>
      <w:r w:rsidRPr="0002179D">
        <w:rPr>
          <w:rFonts w:cs="Times New Roman"/>
        </w:rPr>
        <w:t>Remobiliser leur corps entre autres au service du rétablissement d’un équilibre personnel et d’un développement moteur ;</w:t>
      </w:r>
    </w:p>
    <w:p w:rsidR="0087129B" w:rsidRPr="00A75CC8" w:rsidRDefault="0087129B" w:rsidP="0087129B">
      <w:pPr>
        <w:pStyle w:val="Paragraphedeliste"/>
        <w:numPr>
          <w:ilvl w:val="0"/>
          <w:numId w:val="6"/>
        </w:numPr>
        <w:spacing w:after="80"/>
        <w:jc w:val="both"/>
      </w:pPr>
      <w:r w:rsidRPr="0002179D">
        <w:rPr>
          <w:rFonts w:cs="Times New Roman"/>
        </w:rPr>
        <w:t>Aborder des questions de santé personnelle et collective déterminées par le respect de soi et des autres ;</w:t>
      </w:r>
    </w:p>
    <w:p w:rsidR="0087129B" w:rsidRPr="0002179D" w:rsidRDefault="0087129B" w:rsidP="0087129B">
      <w:pPr>
        <w:pStyle w:val="Paragraphedeliste"/>
        <w:numPr>
          <w:ilvl w:val="0"/>
          <w:numId w:val="6"/>
        </w:numPr>
        <w:spacing w:after="80"/>
        <w:jc w:val="both"/>
      </w:pPr>
      <w:r w:rsidRPr="0002179D">
        <w:rPr>
          <w:rFonts w:cs="Times New Roman"/>
        </w:rPr>
        <w:t>Aborder les questions d’environnement dans le territoire proche ;</w:t>
      </w:r>
    </w:p>
    <w:p w:rsidR="0087129B" w:rsidRPr="0002179D" w:rsidRDefault="0087129B" w:rsidP="0087129B">
      <w:pPr>
        <w:pStyle w:val="Paragraphedeliste"/>
        <w:numPr>
          <w:ilvl w:val="0"/>
          <w:numId w:val="6"/>
        </w:numPr>
        <w:spacing w:after="80"/>
        <w:jc w:val="both"/>
      </w:pPr>
      <w:r w:rsidRPr="0002179D">
        <w:rPr>
          <w:rFonts w:cs="Times New Roman"/>
        </w:rPr>
        <w:lastRenderedPageBreak/>
        <w:t>Favoriser le retour à des pratiques culturelles et artistiques partagées, dans et hors l’école, de susciter la rencontre avec des œuvres et le monde de la création, de continuer à favoriser l’ouverture sur le monde et la capacité à apprécier les œuvres ;</w:t>
      </w:r>
    </w:p>
    <w:p w:rsidR="0087129B" w:rsidRPr="0002179D" w:rsidRDefault="0087129B" w:rsidP="0087129B">
      <w:pPr>
        <w:pStyle w:val="Paragraphedeliste"/>
        <w:numPr>
          <w:ilvl w:val="0"/>
          <w:numId w:val="6"/>
        </w:numPr>
        <w:spacing w:after="80"/>
        <w:jc w:val="both"/>
      </w:pPr>
      <w:r w:rsidRPr="0002179D">
        <w:rPr>
          <w:rFonts w:cs="Times New Roman"/>
        </w:rPr>
        <w:t>Poursuivre les apprentissages par d’autres modalités qui intègrent des partenaires extérieurs.</w:t>
      </w:r>
    </w:p>
    <w:p w:rsidR="0087129B" w:rsidRPr="0002179D" w:rsidRDefault="0087129B" w:rsidP="0087129B">
      <w:pPr>
        <w:spacing w:after="80"/>
        <w:ind w:left="360"/>
        <w:jc w:val="both"/>
        <w:rPr>
          <w:rFonts w:cs="Times New Roman"/>
        </w:rPr>
      </w:pPr>
    </w:p>
    <w:p w:rsidR="0087129B" w:rsidRPr="0002179D" w:rsidRDefault="0087129B" w:rsidP="0087129B">
      <w:pPr>
        <w:spacing w:after="80"/>
        <w:jc w:val="both"/>
        <w:rPr>
          <w:rFonts w:cs="Times New Roman"/>
          <w:b/>
          <w:bCs/>
        </w:rPr>
      </w:pPr>
      <w:r w:rsidRPr="0002179D">
        <w:rPr>
          <w:rFonts w:cs="Times New Roman"/>
          <w:b/>
          <w:bCs/>
        </w:rPr>
        <w:t>Conseils de mise en œuvre des « 2S2C » :</w:t>
      </w:r>
    </w:p>
    <w:p w:rsidR="0087129B" w:rsidRPr="0002179D" w:rsidRDefault="0087129B" w:rsidP="0087129B">
      <w:pPr>
        <w:pStyle w:val="Paragraphedeliste"/>
        <w:numPr>
          <w:ilvl w:val="0"/>
          <w:numId w:val="3"/>
        </w:numPr>
        <w:spacing w:after="80"/>
        <w:jc w:val="both"/>
        <w:rPr>
          <w:rFonts w:eastAsiaTheme="minorEastAsia"/>
        </w:rPr>
      </w:pPr>
      <w:r w:rsidRPr="0002179D">
        <w:rPr>
          <w:rFonts w:cs="Times New Roman"/>
        </w:rPr>
        <w:t xml:space="preserve">Les quatre composantes du dispositif « 2S2C » ont vocation à être articulées entre elles, a minima deux à deux. </w:t>
      </w:r>
    </w:p>
    <w:p w:rsidR="0087129B" w:rsidRPr="0002179D" w:rsidRDefault="0087129B" w:rsidP="0087129B">
      <w:pPr>
        <w:pStyle w:val="Paragraphedeliste"/>
        <w:numPr>
          <w:ilvl w:val="0"/>
          <w:numId w:val="3"/>
        </w:numPr>
        <w:spacing w:after="80"/>
        <w:jc w:val="both"/>
      </w:pPr>
      <w:r w:rsidRPr="0002179D">
        <w:rPr>
          <w:rFonts w:cs="Times New Roman"/>
        </w:rPr>
        <w:t>La démarche projet est à privilégier.</w:t>
      </w:r>
    </w:p>
    <w:p w:rsidR="0087129B" w:rsidRPr="0002179D" w:rsidRDefault="0087129B" w:rsidP="0087129B">
      <w:pPr>
        <w:pStyle w:val="Paragraphedeliste"/>
        <w:numPr>
          <w:ilvl w:val="0"/>
          <w:numId w:val="3"/>
        </w:numPr>
        <w:spacing w:after="80"/>
        <w:jc w:val="both"/>
        <w:rPr>
          <w:rFonts w:eastAsiaTheme="minorEastAsia"/>
        </w:rPr>
      </w:pPr>
      <w:r w:rsidRPr="0002179D">
        <w:rPr>
          <w:rFonts w:cs="Times New Roman"/>
        </w:rPr>
        <w:t>Les « 2S2C » n’ont pas vocation à permettre de boucler les programmes, même s’ils s’y réfèrent explicitement.</w:t>
      </w:r>
    </w:p>
    <w:p w:rsidR="0087129B" w:rsidRPr="0002179D" w:rsidRDefault="0087129B" w:rsidP="0087129B">
      <w:pPr>
        <w:pStyle w:val="Paragraphedeliste"/>
        <w:numPr>
          <w:ilvl w:val="0"/>
          <w:numId w:val="3"/>
        </w:numPr>
        <w:spacing w:after="80"/>
        <w:jc w:val="both"/>
        <w:rPr>
          <w:rFonts w:eastAsiaTheme="minorEastAsia"/>
          <w:szCs w:val="24"/>
        </w:rPr>
      </w:pPr>
      <w:r w:rsidRPr="0002179D">
        <w:rPr>
          <w:rFonts w:cs="Times New Roman"/>
        </w:rPr>
        <w:t xml:space="preserve">Les « 2S2C » s’appuient sur un projet pédagogique piloté </w:t>
      </w:r>
      <w:r>
        <w:rPr>
          <w:rFonts w:cs="Times New Roman"/>
        </w:rPr>
        <w:t xml:space="preserve">exclusivement </w:t>
      </w:r>
      <w:r w:rsidRPr="0002179D">
        <w:rPr>
          <w:rFonts w:cs="Times New Roman"/>
        </w:rPr>
        <w:t>par un enseignant ou une équipe enseignante, les intervenants extérieurs doivent en conséquence privilégier des propositions élaborées en concertation avec les enseignants.</w:t>
      </w:r>
    </w:p>
    <w:p w:rsidR="0087129B" w:rsidRPr="0002179D" w:rsidRDefault="0087129B" w:rsidP="0087129B">
      <w:pPr>
        <w:pStyle w:val="Paragraphedeliste"/>
        <w:numPr>
          <w:ilvl w:val="0"/>
          <w:numId w:val="3"/>
        </w:numPr>
        <w:spacing w:after="80"/>
        <w:jc w:val="both"/>
        <w:rPr>
          <w:rFonts w:eastAsiaTheme="minorEastAsia"/>
          <w:szCs w:val="24"/>
        </w:rPr>
      </w:pPr>
      <w:r w:rsidRPr="0002179D">
        <w:rPr>
          <w:rFonts w:cs="Times New Roman"/>
        </w:rPr>
        <w:t xml:space="preserve">Les activités « 2S2C » peuvent s’appuyer sur l’expérience de mise en œuvre d’actions dans le cadre </w:t>
      </w:r>
      <w:r>
        <w:rPr>
          <w:rFonts w:cs="Times New Roman"/>
        </w:rPr>
        <w:t>des instances des écoles et des établissements</w:t>
      </w:r>
      <w:r w:rsidRPr="0002179D">
        <w:rPr>
          <w:rFonts w:cs="Times New Roman"/>
        </w:rPr>
        <w:t>.</w:t>
      </w:r>
    </w:p>
    <w:p w:rsidR="0087129B" w:rsidRPr="0002179D" w:rsidRDefault="0087129B" w:rsidP="0087129B">
      <w:pPr>
        <w:spacing w:after="80"/>
        <w:jc w:val="both"/>
        <w:rPr>
          <w:rFonts w:cs="Times New Roman"/>
        </w:rPr>
      </w:pPr>
    </w:p>
    <w:p w:rsidR="0087129B" w:rsidRPr="0002179D" w:rsidRDefault="0087129B" w:rsidP="0087129B">
      <w:pPr>
        <w:spacing w:after="80"/>
        <w:jc w:val="both"/>
        <w:rPr>
          <w:rFonts w:cs="Times New Roman"/>
          <w:b/>
          <w:bCs/>
        </w:rPr>
      </w:pPr>
      <w:r w:rsidRPr="0002179D">
        <w:rPr>
          <w:rFonts w:cs="Times New Roman"/>
          <w:b/>
          <w:bCs/>
        </w:rPr>
        <w:t>Coordination des actions</w:t>
      </w:r>
    </w:p>
    <w:p w:rsidR="0087129B" w:rsidRPr="0002179D" w:rsidRDefault="0087129B" w:rsidP="0087129B">
      <w:pPr>
        <w:pStyle w:val="Paragraphedeliste"/>
        <w:numPr>
          <w:ilvl w:val="0"/>
          <w:numId w:val="4"/>
        </w:numPr>
        <w:spacing w:after="80"/>
        <w:jc w:val="both"/>
        <w:rPr>
          <w:rFonts w:cs="Times New Roman"/>
        </w:rPr>
      </w:pPr>
      <w:r>
        <w:rPr>
          <w:rFonts w:cs="Times New Roman"/>
        </w:rPr>
        <w:t>L’IEN et le</w:t>
      </w:r>
      <w:r w:rsidRPr="0002179D">
        <w:rPr>
          <w:rFonts w:cs="Times New Roman"/>
        </w:rPr>
        <w:t xml:space="preserve"> chef d’établissement </w:t>
      </w:r>
      <w:r>
        <w:rPr>
          <w:rFonts w:cs="Times New Roman"/>
        </w:rPr>
        <w:t>sont</w:t>
      </w:r>
      <w:r w:rsidRPr="0002179D">
        <w:rPr>
          <w:rFonts w:cs="Times New Roman"/>
        </w:rPr>
        <w:t xml:space="preserve"> garant</w:t>
      </w:r>
      <w:r>
        <w:rPr>
          <w:rFonts w:cs="Times New Roman"/>
        </w:rPr>
        <w:t>s</w:t>
      </w:r>
      <w:r w:rsidRPr="0002179D">
        <w:rPr>
          <w:rFonts w:cs="Times New Roman"/>
        </w:rPr>
        <w:t xml:space="preserve"> de la mise en place du dispositif « 2S2C ». Il</w:t>
      </w:r>
      <w:r>
        <w:rPr>
          <w:rFonts w:cs="Times New Roman"/>
        </w:rPr>
        <w:t>s peuvent</w:t>
      </w:r>
      <w:r w:rsidRPr="0002179D">
        <w:rPr>
          <w:rFonts w:cs="Times New Roman"/>
        </w:rPr>
        <w:t xml:space="preserve"> s’adjoindre le concours d’un coordinateur.</w:t>
      </w:r>
    </w:p>
    <w:p w:rsidR="0087129B" w:rsidRPr="0002179D" w:rsidRDefault="0087129B" w:rsidP="0087129B">
      <w:pPr>
        <w:pStyle w:val="Paragraphedeliste"/>
        <w:numPr>
          <w:ilvl w:val="0"/>
          <w:numId w:val="4"/>
        </w:numPr>
        <w:spacing w:after="80"/>
        <w:jc w:val="both"/>
        <w:rPr>
          <w:rFonts w:cs="Times New Roman"/>
        </w:rPr>
      </w:pPr>
      <w:proofErr w:type="spellStart"/>
      <w:r w:rsidRPr="0002179D">
        <w:rPr>
          <w:rFonts w:cs="Times New Roman"/>
        </w:rPr>
        <w:t>Peut être</w:t>
      </w:r>
      <w:proofErr w:type="spellEnd"/>
      <w:r w:rsidRPr="0002179D">
        <w:rPr>
          <w:rFonts w:cs="Times New Roman"/>
        </w:rPr>
        <w:t xml:space="preserve"> coordinateur tout </w:t>
      </w:r>
      <w:r>
        <w:rPr>
          <w:rFonts w:cs="Times New Roman"/>
        </w:rPr>
        <w:t>membre de la communauté éducative</w:t>
      </w:r>
      <w:r w:rsidRPr="0002179D">
        <w:rPr>
          <w:rFonts w:cs="Times New Roman"/>
        </w:rPr>
        <w:t xml:space="preserve">. Les </w:t>
      </w:r>
      <w:r>
        <w:rPr>
          <w:rFonts w:cs="Times New Roman"/>
        </w:rPr>
        <w:t>enseignants</w:t>
      </w:r>
      <w:r w:rsidRPr="0002179D">
        <w:rPr>
          <w:rFonts w:cs="Times New Roman"/>
        </w:rPr>
        <w:t xml:space="preserve"> référents (culture, citoyenneté, EDD, EPS, etc.) peuvent être sollicités de manière privilégiée dans la mesure où la plupart d’entre eux ont été formés à la pédagogie de projet et aux enjeux éducatifs de leur domaine de référence ainsi qu’au travail avec des partenaires.</w:t>
      </w:r>
    </w:p>
    <w:p w:rsidR="0087129B" w:rsidRPr="0002179D" w:rsidRDefault="0087129B" w:rsidP="0087129B">
      <w:pPr>
        <w:pStyle w:val="Paragraphedeliste"/>
        <w:numPr>
          <w:ilvl w:val="0"/>
          <w:numId w:val="4"/>
        </w:numPr>
        <w:spacing w:after="80"/>
        <w:jc w:val="both"/>
        <w:rPr>
          <w:rFonts w:cs="Times New Roman"/>
        </w:rPr>
      </w:pPr>
      <w:r w:rsidRPr="0002179D">
        <w:rPr>
          <w:rFonts w:cs="Times New Roman"/>
        </w:rPr>
        <w:t>Sur chaque projet, un fonctionnement en équipe est à privilégier</w:t>
      </w:r>
      <w:r>
        <w:rPr>
          <w:rFonts w:cs="Times New Roman"/>
        </w:rPr>
        <w:t xml:space="preserve"> : enseignant/infirmière, </w:t>
      </w:r>
      <w:r w:rsidRPr="0002179D">
        <w:rPr>
          <w:rFonts w:cs="Times New Roman"/>
        </w:rPr>
        <w:t>partenaire/enseignant(s),</w:t>
      </w:r>
      <w:r>
        <w:rPr>
          <w:rFonts w:cs="Times New Roman"/>
        </w:rPr>
        <w:t xml:space="preserve"> enseignant/CPE, partenaire/infirmière, partenaire/CPE,</w:t>
      </w:r>
      <w:r w:rsidRPr="0002179D">
        <w:rPr>
          <w:rFonts w:cs="Times New Roman"/>
        </w:rPr>
        <w:t xml:space="preserve"> enseignants de différentes disciplines</w:t>
      </w:r>
      <w:r>
        <w:rPr>
          <w:rFonts w:cs="Times New Roman"/>
        </w:rPr>
        <w:t>,</w:t>
      </w:r>
      <w:r w:rsidRPr="0002179D">
        <w:rPr>
          <w:rFonts w:cs="Times New Roman"/>
        </w:rPr>
        <w:t xml:space="preserve"> etc.</w:t>
      </w:r>
    </w:p>
    <w:p w:rsidR="0087129B" w:rsidRPr="0002179D" w:rsidRDefault="0087129B" w:rsidP="0087129B">
      <w:pPr>
        <w:spacing w:after="80"/>
        <w:jc w:val="both"/>
        <w:rPr>
          <w:rFonts w:cs="Times New Roman"/>
        </w:rPr>
      </w:pPr>
    </w:p>
    <w:p w:rsidR="0087129B" w:rsidRPr="0002179D" w:rsidRDefault="0087129B" w:rsidP="0087129B">
      <w:pPr>
        <w:spacing w:after="80"/>
        <w:jc w:val="both"/>
        <w:rPr>
          <w:rFonts w:cs="Times New Roman"/>
          <w:b/>
          <w:bCs/>
        </w:rPr>
      </w:pPr>
      <w:r w:rsidRPr="0002179D">
        <w:rPr>
          <w:rFonts w:cs="Times New Roman"/>
          <w:b/>
          <w:bCs/>
        </w:rPr>
        <w:t>Orientations pour les composantes « 2S2C » et exemples d’actions</w:t>
      </w:r>
    </w:p>
    <w:p w:rsidR="0087129B" w:rsidRPr="0002179D" w:rsidRDefault="0087129B" w:rsidP="0087129B">
      <w:pPr>
        <w:spacing w:after="80"/>
        <w:jc w:val="both"/>
        <w:rPr>
          <w:rFonts w:cs="Times New Roman"/>
        </w:rPr>
      </w:pPr>
      <w:r w:rsidRPr="0002179D">
        <w:rPr>
          <w:rFonts w:cs="Times New Roman"/>
        </w:rPr>
        <w:t>Pour aider à cerner les actions possibles entrant dans les quatre champs sport - santé - culture - civisme, consulter le document d’accompagnement du protocole « 2S2C » joint.</w:t>
      </w:r>
    </w:p>
    <w:p w:rsidR="0087129B" w:rsidRPr="0002179D" w:rsidRDefault="0087129B" w:rsidP="0087129B">
      <w:pPr>
        <w:spacing w:after="80"/>
        <w:ind w:left="360"/>
        <w:jc w:val="both"/>
        <w:rPr>
          <w:rFonts w:cs="Times New Roman"/>
        </w:rPr>
      </w:pPr>
    </w:p>
    <w:p w:rsidR="0087129B" w:rsidRPr="0002179D" w:rsidRDefault="0087129B" w:rsidP="0087129B">
      <w:pPr>
        <w:spacing w:after="80"/>
        <w:jc w:val="both"/>
        <w:rPr>
          <w:rFonts w:cs="Times New Roman"/>
          <w:b/>
          <w:bCs/>
        </w:rPr>
      </w:pPr>
      <w:r w:rsidRPr="0002179D">
        <w:rPr>
          <w:rFonts w:cs="Times New Roman"/>
          <w:b/>
          <w:bCs/>
        </w:rPr>
        <w:t>Textes de référence :</w:t>
      </w:r>
    </w:p>
    <w:p w:rsidR="0087129B" w:rsidRPr="0002179D" w:rsidRDefault="005A257A" w:rsidP="0087129B">
      <w:pPr>
        <w:pStyle w:val="Paragraphedeliste"/>
        <w:numPr>
          <w:ilvl w:val="0"/>
          <w:numId w:val="5"/>
        </w:numPr>
        <w:spacing w:after="80"/>
        <w:jc w:val="both"/>
        <w:rPr>
          <w:rFonts w:cs="Times New Roman"/>
        </w:rPr>
      </w:pPr>
      <w:hyperlink r:id="rId9" w:history="1">
        <w:r w:rsidR="0087129B" w:rsidRPr="0002179D">
          <w:rPr>
            <w:rStyle w:val="Lienhypertexte"/>
            <w:rFonts w:cs="Times New Roman"/>
          </w:rPr>
          <w:t>Circulaire du 4 mai 2020</w:t>
        </w:r>
      </w:hyperlink>
      <w:r w:rsidR="0087129B" w:rsidRPr="0002179D">
        <w:rPr>
          <w:rFonts w:cs="Times New Roman"/>
        </w:rPr>
        <w:t>, relative à la réouverture des écoles et établissements et aux conditions de poursuite des apprentissages.</w:t>
      </w:r>
    </w:p>
    <w:p w:rsidR="0087129B" w:rsidRPr="00A75CC8" w:rsidRDefault="005A257A" w:rsidP="0087129B">
      <w:pPr>
        <w:pStyle w:val="Paragraphedeliste"/>
        <w:numPr>
          <w:ilvl w:val="0"/>
          <w:numId w:val="5"/>
        </w:numPr>
        <w:spacing w:after="80"/>
        <w:jc w:val="both"/>
      </w:pPr>
      <w:hyperlink r:id="rId10" w:history="1">
        <w:r w:rsidR="0087129B" w:rsidRPr="0002179D">
          <w:rPr>
            <w:rStyle w:val="Lienhypertexte"/>
            <w:rFonts w:cs="Times New Roman"/>
          </w:rPr>
          <w:t>Protocole sanitaire du 11 mai 2020</w:t>
        </w:r>
      </w:hyperlink>
    </w:p>
    <w:p w:rsidR="0087129B" w:rsidRPr="0002179D" w:rsidRDefault="0087129B" w:rsidP="0087129B">
      <w:pPr>
        <w:pStyle w:val="Paragraphedeliste"/>
        <w:numPr>
          <w:ilvl w:val="0"/>
          <w:numId w:val="5"/>
        </w:numPr>
        <w:spacing w:after="80"/>
        <w:jc w:val="both"/>
      </w:pPr>
      <w:r w:rsidRPr="0002179D">
        <w:rPr>
          <w:rFonts w:cs="Times New Roman"/>
        </w:rPr>
        <w:t>Protocole relatif au dispositif d’appui de la reprise scolaire 2S2C à destination des fédérations et des clubs sportifs (en annexe).</w:t>
      </w:r>
    </w:p>
    <w:p w:rsidR="0087129B" w:rsidRPr="0002179D" w:rsidRDefault="0087129B" w:rsidP="0087129B">
      <w:pPr>
        <w:spacing w:after="80"/>
        <w:jc w:val="both"/>
        <w:rPr>
          <w:rFonts w:cs="Times New Roman"/>
        </w:rPr>
      </w:pPr>
    </w:p>
    <w:p w:rsidR="0087129B" w:rsidRPr="0002179D" w:rsidRDefault="0087129B" w:rsidP="0087129B">
      <w:pPr>
        <w:spacing w:after="80"/>
        <w:jc w:val="both"/>
        <w:rPr>
          <w:rFonts w:cs="Times New Roman"/>
          <w:b/>
          <w:bCs/>
        </w:rPr>
      </w:pPr>
      <w:r w:rsidRPr="0002179D">
        <w:rPr>
          <w:rFonts w:cs="Times New Roman"/>
          <w:b/>
          <w:bCs/>
        </w:rPr>
        <w:t>Annexes :</w:t>
      </w:r>
    </w:p>
    <w:p w:rsidR="0087129B" w:rsidRPr="0002179D" w:rsidRDefault="0087129B" w:rsidP="0087129B">
      <w:pPr>
        <w:pStyle w:val="Paragraphedeliste"/>
        <w:numPr>
          <w:ilvl w:val="0"/>
          <w:numId w:val="7"/>
        </w:numPr>
        <w:spacing w:after="80"/>
        <w:jc w:val="both"/>
        <w:rPr>
          <w:rFonts w:cs="Times New Roman"/>
        </w:rPr>
      </w:pPr>
      <w:r w:rsidRPr="0002179D">
        <w:rPr>
          <w:rFonts w:cs="Times New Roman"/>
        </w:rPr>
        <w:t>Document d’accompagnement du protocole pédagogique (diaporama).</w:t>
      </w:r>
    </w:p>
    <w:p w:rsidR="0087129B" w:rsidRPr="0002179D" w:rsidRDefault="0087129B" w:rsidP="0087129B">
      <w:pPr>
        <w:pStyle w:val="Paragraphedeliste"/>
        <w:numPr>
          <w:ilvl w:val="0"/>
          <w:numId w:val="7"/>
        </w:numPr>
        <w:spacing w:after="80"/>
        <w:jc w:val="both"/>
        <w:rPr>
          <w:rFonts w:cs="Times New Roman"/>
        </w:rPr>
      </w:pPr>
      <w:r w:rsidRPr="0002179D">
        <w:rPr>
          <w:rFonts w:cs="Times New Roman"/>
        </w:rPr>
        <w:t>Fiche projet « 2S2C ».</w:t>
      </w:r>
    </w:p>
    <w:p w:rsidR="006B455F" w:rsidRDefault="0087129B" w:rsidP="006B455F">
      <w:pPr>
        <w:pStyle w:val="Paragraphedeliste"/>
        <w:numPr>
          <w:ilvl w:val="0"/>
          <w:numId w:val="7"/>
        </w:numPr>
        <w:spacing w:after="80"/>
        <w:jc w:val="both"/>
        <w:rPr>
          <w:rFonts w:cs="Times New Roman"/>
        </w:rPr>
      </w:pPr>
      <w:r w:rsidRPr="0002179D">
        <w:rPr>
          <w:rFonts w:cs="Times New Roman"/>
        </w:rPr>
        <w:t>Protocole relatif au dispositif d’appui à la reprise scolaire « Sport, santé, culture, civisme ».</w:t>
      </w:r>
    </w:p>
    <w:p w:rsidR="006951B1" w:rsidRPr="006B455F" w:rsidRDefault="006B455F" w:rsidP="006B455F">
      <w:pPr>
        <w:pStyle w:val="Paragraphedeliste"/>
        <w:numPr>
          <w:ilvl w:val="0"/>
          <w:numId w:val="7"/>
        </w:numPr>
        <w:spacing w:after="80"/>
        <w:jc w:val="both"/>
        <w:rPr>
          <w:rFonts w:cs="Times New Roman"/>
        </w:rPr>
      </w:pPr>
      <w:r w:rsidRPr="006B455F">
        <w:rPr>
          <w:rFonts w:cs="Times New Roman"/>
        </w:rPr>
        <w:t>Deux exemples de convention (1</w:t>
      </w:r>
      <w:r w:rsidRPr="006B455F">
        <w:rPr>
          <w:rFonts w:cs="Times New Roman"/>
          <w:vertAlign w:val="superscript"/>
        </w:rPr>
        <w:t>er</w:t>
      </w:r>
      <w:r w:rsidRPr="006B455F">
        <w:rPr>
          <w:rFonts w:cs="Times New Roman"/>
        </w:rPr>
        <w:t xml:space="preserve"> et 2</w:t>
      </w:r>
      <w:r w:rsidRPr="006B455F">
        <w:rPr>
          <w:rFonts w:cs="Times New Roman"/>
          <w:vertAlign w:val="superscript"/>
        </w:rPr>
        <w:t>nd</w:t>
      </w:r>
      <w:r w:rsidRPr="006B455F">
        <w:rPr>
          <w:rFonts w:cs="Times New Roman"/>
        </w:rPr>
        <w:t xml:space="preserve"> degré</w:t>
      </w:r>
      <w:r>
        <w:rPr>
          <w:rFonts w:cs="Times New Roman"/>
        </w:rPr>
        <w:t>s).</w:t>
      </w:r>
      <w:bookmarkStart w:id="0" w:name="_GoBack"/>
      <w:bookmarkEnd w:id="0"/>
    </w:p>
    <w:sectPr w:rsidR="006951B1" w:rsidRPr="006B455F" w:rsidSect="00F33FD3">
      <w:footerReference w:type="even" r:id="rId11"/>
      <w:footerReference w:type="default" r:id="rId12"/>
      <w:pgSz w:w="11906" w:h="16838"/>
      <w:pgMar w:top="745" w:right="85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57A" w:rsidRDefault="005A257A">
      <w:r>
        <w:separator/>
      </w:r>
    </w:p>
  </w:endnote>
  <w:endnote w:type="continuationSeparator" w:id="0">
    <w:p w:rsidR="005A257A" w:rsidRDefault="005A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20825164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DB551D" w:rsidRDefault="0087129B" w:rsidP="009A1B2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D457C9" w:rsidRDefault="005A257A" w:rsidP="00DB551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49233781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DB551D" w:rsidRDefault="0087129B" w:rsidP="009A1B2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sdt>
    <w:sdtPr>
      <w:id w:val="-1352710724"/>
      <w:docPartObj>
        <w:docPartGallery w:val="Page Numbers (Bottom of Page)"/>
        <w:docPartUnique/>
      </w:docPartObj>
    </w:sdtPr>
    <w:sdtEndPr/>
    <w:sdtContent>
      <w:p w:rsidR="00D457C9" w:rsidRPr="00DB551D" w:rsidRDefault="0087129B" w:rsidP="00DB551D">
        <w:pPr>
          <w:pBdr>
            <w:top w:val="single" w:sz="4" w:space="1" w:color="auto"/>
          </w:pBdr>
          <w:ind w:right="360"/>
          <w:rPr>
            <w:rFonts w:cstheme="minorHAnsi"/>
            <w:bCs/>
            <w:color w:val="2F5496" w:themeColor="accent1" w:themeShade="BF"/>
            <w:sz w:val="18"/>
            <w:szCs w:val="18"/>
          </w:rPr>
        </w:pPr>
        <w:r w:rsidRPr="00F66282">
          <w:rPr>
            <w:rFonts w:cstheme="minorHAnsi"/>
            <w:bCs/>
            <w:color w:val="2F5496" w:themeColor="accent1" w:themeShade="BF"/>
            <w:sz w:val="18"/>
            <w:szCs w:val="18"/>
          </w:rPr>
          <w:t>C</w:t>
        </w:r>
        <w:r>
          <w:rPr>
            <w:rFonts w:cstheme="minorHAnsi"/>
            <w:bCs/>
            <w:color w:val="2F5496" w:themeColor="accent1" w:themeShade="BF"/>
            <w:sz w:val="18"/>
            <w:szCs w:val="18"/>
          </w:rPr>
          <w:t>OVID 19 - C</w:t>
        </w:r>
        <w:r w:rsidRPr="00F66282">
          <w:rPr>
            <w:rFonts w:cstheme="minorHAnsi"/>
            <w:bCs/>
            <w:color w:val="2F5496" w:themeColor="accent1" w:themeShade="BF"/>
            <w:sz w:val="18"/>
            <w:szCs w:val="18"/>
          </w:rPr>
          <w:t>ellule de continuité pédagogique de l’académie de Grenoble</w:t>
        </w:r>
        <w:r>
          <w:rPr>
            <w:rFonts w:cstheme="minorHAnsi"/>
            <w:bCs/>
            <w:color w:val="2F5496" w:themeColor="accent1" w:themeShade="BF"/>
            <w:sz w:val="18"/>
            <w:szCs w:val="18"/>
          </w:rPr>
          <w:t xml:space="preserve"> – Protocole pédagogique « 2S2C » - mai 2020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57A" w:rsidRDefault="005A257A">
      <w:r>
        <w:separator/>
      </w:r>
    </w:p>
  </w:footnote>
  <w:footnote w:type="continuationSeparator" w:id="0">
    <w:p w:rsidR="005A257A" w:rsidRDefault="005A2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94FF0"/>
    <w:multiLevelType w:val="hybridMultilevel"/>
    <w:tmpl w:val="FE9AEA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47461"/>
    <w:multiLevelType w:val="hybridMultilevel"/>
    <w:tmpl w:val="FDE269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D4866"/>
    <w:multiLevelType w:val="hybridMultilevel"/>
    <w:tmpl w:val="67C0BD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F33DE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E04F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BC9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6A1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B49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D48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63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6E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84C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D3CF7"/>
    <w:multiLevelType w:val="hybridMultilevel"/>
    <w:tmpl w:val="DB7E2B1E"/>
    <w:lvl w:ilvl="0" w:tplc="FD8A21B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97030"/>
    <w:multiLevelType w:val="hybridMultilevel"/>
    <w:tmpl w:val="8050FE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E48B3"/>
    <w:multiLevelType w:val="hybridMultilevel"/>
    <w:tmpl w:val="9B1044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9B"/>
    <w:rsid w:val="00235F71"/>
    <w:rsid w:val="005A257A"/>
    <w:rsid w:val="006951B1"/>
    <w:rsid w:val="006B455F"/>
    <w:rsid w:val="00825474"/>
    <w:rsid w:val="0087129B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609FAD"/>
  <w15:chartTrackingRefBased/>
  <w15:docId w15:val="{32DAE0A7-6E2A-9046-B83D-B9D4C051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129B"/>
    <w:rPr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129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7129B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8712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129B"/>
    <w:rPr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87129B"/>
  </w:style>
  <w:style w:type="table" w:styleId="Grilledutableau">
    <w:name w:val="Table Grid"/>
    <w:basedOn w:val="TableauNormal"/>
    <w:uiPriority w:val="39"/>
    <w:rsid w:val="008712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8712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uv.fr/coronavirus-covid-19-reouverture-des-ecoles-colleges-et-lycees-30354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education.gouv.fr/coronavirus-covid-19-reouverture-des-ecoles-colleges-et-lycees-3035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cation.gouv.fr/bo/20/Hebdo19/MENE2011220C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840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zajdela</dc:creator>
  <cp:keywords/>
  <dc:description/>
  <cp:lastModifiedBy>helene zajdela</cp:lastModifiedBy>
  <cp:revision>2</cp:revision>
  <dcterms:created xsi:type="dcterms:W3CDTF">2020-06-07T12:56:00Z</dcterms:created>
  <dcterms:modified xsi:type="dcterms:W3CDTF">2020-06-07T13:34:00Z</dcterms:modified>
</cp:coreProperties>
</file>