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/>
          <w:iCs/>
          <w:color w:val="1E497C"/>
          <w:sz w:val="28"/>
          <w:szCs w:val="28"/>
        </w:rPr>
      </w:pPr>
      <w:r w:rsidRPr="009240A2">
        <w:rPr>
          <w:rFonts w:cs="Calibri,BoldItalic"/>
          <w:b/>
          <w:bCs/>
          <w:i/>
          <w:iCs/>
          <w:color w:val="1E497C"/>
          <w:sz w:val="28"/>
          <w:szCs w:val="28"/>
        </w:rPr>
        <w:t>Édition 2020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  <w:r w:rsidRPr="009240A2">
        <w:rPr>
          <w:rFonts w:cs="Calibri,Bold"/>
          <w:b/>
          <w:bCs/>
          <w:color w:val="000000"/>
          <w:sz w:val="24"/>
          <w:szCs w:val="24"/>
        </w:rPr>
        <w:t>Ministère de l’éducation nationale et de la jeunesse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  <w:r w:rsidRPr="009240A2">
        <w:rPr>
          <w:rFonts w:cs="Calibri,Bold"/>
          <w:b/>
          <w:bCs/>
          <w:color w:val="000000"/>
          <w:sz w:val="24"/>
          <w:szCs w:val="24"/>
        </w:rPr>
        <w:t>Direction générale de l’enseignement scolaire (DGESCO)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497C"/>
          <w:sz w:val="56"/>
          <w:szCs w:val="56"/>
        </w:rPr>
      </w:pPr>
      <w:r w:rsidRPr="009240A2">
        <w:rPr>
          <w:rFonts w:ascii="Arial" w:hAnsi="Arial" w:cs="Arial"/>
          <w:b/>
          <w:bCs/>
          <w:color w:val="1E497C"/>
          <w:sz w:val="56"/>
          <w:szCs w:val="56"/>
        </w:rPr>
        <w:t>Livret des modalités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497C"/>
          <w:sz w:val="56"/>
          <w:szCs w:val="56"/>
        </w:rPr>
      </w:pPr>
      <w:r w:rsidRPr="009240A2">
        <w:rPr>
          <w:rFonts w:ascii="Arial" w:hAnsi="Arial" w:cs="Arial"/>
          <w:b/>
          <w:bCs/>
          <w:color w:val="1E497C"/>
          <w:sz w:val="56"/>
          <w:szCs w:val="56"/>
        </w:rPr>
        <w:t>D’</w:t>
      </w:r>
      <w:r w:rsidRPr="009240A2">
        <w:rPr>
          <w:rFonts w:ascii="Arial" w:hAnsi="Arial" w:cs="Arial"/>
          <w:b/>
          <w:bCs/>
          <w:color w:val="1E497C"/>
          <w:sz w:val="56"/>
          <w:szCs w:val="56"/>
        </w:rPr>
        <w:t>organisation des épreuves des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497C"/>
          <w:sz w:val="56"/>
          <w:szCs w:val="56"/>
        </w:rPr>
      </w:pPr>
      <w:r w:rsidRPr="009240A2">
        <w:rPr>
          <w:rFonts w:ascii="Arial" w:hAnsi="Arial" w:cs="Arial"/>
          <w:b/>
          <w:bCs/>
          <w:color w:val="1E497C"/>
          <w:sz w:val="56"/>
          <w:szCs w:val="56"/>
        </w:rPr>
        <w:t>ASSR, ASR et AER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9240A2">
        <w:rPr>
          <w:rFonts w:ascii="Calibri" w:hAnsi="Calibri" w:cs="Calibri"/>
          <w:b/>
          <w:i/>
          <w:color w:val="000000"/>
        </w:rPr>
        <w:t>(Extraits</w:t>
      </w:r>
      <w:r>
        <w:rPr>
          <w:rFonts w:ascii="Calibri" w:hAnsi="Calibri" w:cs="Calibri"/>
          <w:b/>
          <w:i/>
          <w:color w:val="000000"/>
        </w:rPr>
        <w:t xml:space="preserve"> concernant le « Savoir rouler à vélo » SRAV</w:t>
      </w:r>
      <w:r w:rsidRPr="009240A2">
        <w:rPr>
          <w:rFonts w:ascii="Calibri" w:hAnsi="Calibri" w:cs="Calibri"/>
          <w:b/>
          <w:i/>
          <w:color w:val="000000"/>
        </w:rPr>
        <w:t xml:space="preserve">) </w:t>
      </w: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365F92"/>
          <w:sz w:val="24"/>
          <w:szCs w:val="24"/>
        </w:rPr>
      </w:pPr>
      <w:r w:rsidRPr="009240A2">
        <w:rPr>
          <w:rFonts w:cs="Arial"/>
          <w:b/>
          <w:bCs/>
          <w:color w:val="365F92"/>
          <w:sz w:val="24"/>
          <w:szCs w:val="24"/>
        </w:rPr>
        <w:t>Le continuum de l’éducation à la sécurité routière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L’éducation à la sécurité routière fait l’objet d’un continuum éducatif de l’école au lycée et en centre</w:t>
      </w:r>
      <w:r>
        <w:rPr>
          <w:rFonts w:cs="Arial"/>
          <w:color w:val="000000"/>
          <w:sz w:val="24"/>
          <w:szCs w:val="24"/>
        </w:rPr>
        <w:t xml:space="preserve">, </w:t>
      </w:r>
      <w:r w:rsidRPr="009240A2">
        <w:rPr>
          <w:rFonts w:cs="Arial"/>
          <w:color w:val="000000"/>
          <w:sz w:val="24"/>
          <w:szCs w:val="24"/>
        </w:rPr>
        <w:t>de formation d’apprentis (CFA) :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  <w:r w:rsidRPr="009240A2">
        <w:rPr>
          <w:rFonts w:cs="Calibri,Bold"/>
          <w:b/>
          <w:bCs/>
          <w:color w:val="000000"/>
          <w:sz w:val="28"/>
          <w:szCs w:val="28"/>
        </w:rPr>
        <w:t xml:space="preserve">→ </w:t>
      </w:r>
      <w:r w:rsidRPr="009240A2">
        <w:rPr>
          <w:rFonts w:cs="Arial"/>
          <w:b/>
          <w:bCs/>
          <w:color w:val="000000"/>
          <w:sz w:val="28"/>
          <w:szCs w:val="28"/>
        </w:rPr>
        <w:t>À l’école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 xml:space="preserve">Du cycle 1 au cycle 3, l’attestation de première éducation à la route (APER) </w:t>
      </w:r>
      <w:proofErr w:type="gramStart"/>
      <w:r w:rsidRPr="009240A2">
        <w:rPr>
          <w:rFonts w:cs="Arial"/>
          <w:color w:val="000000"/>
          <w:sz w:val="24"/>
          <w:szCs w:val="24"/>
        </w:rPr>
        <w:t xml:space="preserve">valide </w:t>
      </w:r>
      <w:r>
        <w:rPr>
          <w:rFonts w:cs="Arial"/>
          <w:color w:val="000000"/>
          <w:sz w:val="24"/>
          <w:szCs w:val="24"/>
        </w:rPr>
        <w:t xml:space="preserve"> l</w:t>
      </w:r>
      <w:r w:rsidRPr="009240A2">
        <w:rPr>
          <w:rFonts w:cs="Arial"/>
          <w:color w:val="000000"/>
          <w:sz w:val="24"/>
          <w:szCs w:val="24"/>
        </w:rPr>
        <w:t>'acquisition</w:t>
      </w:r>
      <w:proofErr w:type="gramEnd"/>
      <w:r w:rsidRPr="009240A2">
        <w:rPr>
          <w:rFonts w:cs="Arial"/>
          <w:color w:val="000000"/>
          <w:sz w:val="24"/>
          <w:szCs w:val="24"/>
        </w:rPr>
        <w:t xml:space="preserve"> de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>règles et de comportements liés à l'usage de la rue et de la route et à la connaissance de leur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>justification.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 xml:space="preserve">Les modalités de mise en </w:t>
      </w:r>
      <w:proofErr w:type="spellStart"/>
      <w:r w:rsidRPr="009240A2">
        <w:rPr>
          <w:rFonts w:cs="Arial"/>
          <w:color w:val="000000"/>
          <w:sz w:val="24"/>
          <w:szCs w:val="24"/>
        </w:rPr>
        <w:t>oeuvre</w:t>
      </w:r>
      <w:proofErr w:type="spellEnd"/>
      <w:r w:rsidRPr="009240A2">
        <w:rPr>
          <w:rFonts w:cs="Arial"/>
          <w:color w:val="000000"/>
          <w:sz w:val="24"/>
          <w:szCs w:val="24"/>
        </w:rPr>
        <w:t xml:space="preserve"> sont précisées dans la circulaire n° 2016-153 du 12 octobre 2016.</w:t>
      </w: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3BE"/>
          <w:sz w:val="24"/>
          <w:szCs w:val="24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3BE"/>
          <w:sz w:val="24"/>
          <w:szCs w:val="24"/>
        </w:rPr>
      </w:pPr>
      <w:bookmarkStart w:id="0" w:name="_GoBack"/>
      <w:bookmarkEnd w:id="0"/>
      <w:r w:rsidRPr="009240A2">
        <w:rPr>
          <w:rFonts w:cs="Arial"/>
          <w:b/>
          <w:bCs/>
          <w:color w:val="4F83BE"/>
          <w:sz w:val="24"/>
          <w:szCs w:val="24"/>
        </w:rPr>
        <w:t>Le savoir rouler à vélo (SRAV)</w:t>
      </w: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L’apprentissage du vélo et la sensibilisation des élèves aux modes actifs et durables de déplacements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>est développé à l’École dans le cadre d’un continuum pédagogique et éducatif qui s’ancre dans les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>enseignements disciplinaires ainsi que dans l’éducation à la sécurité routière (ESR), de l’école au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>lycée.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À l’école, l’enseignement du vélo du cycle 1 au cycle 3, passe par :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/>
          <w:sz w:val="24"/>
          <w:szCs w:val="24"/>
        </w:rPr>
      </w:pPr>
      <w:r w:rsidRPr="009240A2">
        <w:rPr>
          <w:rFonts w:cs="Symbol"/>
          <w:color w:val="000000"/>
          <w:sz w:val="24"/>
          <w:szCs w:val="24"/>
        </w:rPr>
        <w:t xml:space="preserve">• </w:t>
      </w:r>
      <w:r w:rsidRPr="009240A2">
        <w:rPr>
          <w:rFonts w:cs="Arial"/>
          <w:b/>
          <w:bCs/>
          <w:i/>
          <w:iCs/>
          <w:color w:val="000000"/>
          <w:sz w:val="24"/>
          <w:szCs w:val="24"/>
        </w:rPr>
        <w:t>L’éducation physique et sportive (EPS)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Les activités dites « de roule » sont inscrites et intégrées dans les programmes d’EPS.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/>
          <w:sz w:val="24"/>
          <w:szCs w:val="24"/>
        </w:rPr>
      </w:pPr>
      <w:r w:rsidRPr="009240A2">
        <w:rPr>
          <w:rFonts w:cs="Symbol"/>
          <w:color w:val="000000"/>
          <w:sz w:val="24"/>
          <w:szCs w:val="24"/>
        </w:rPr>
        <w:t xml:space="preserve">• </w:t>
      </w:r>
      <w:r w:rsidRPr="009240A2">
        <w:rPr>
          <w:rFonts w:cs="Arial"/>
          <w:b/>
          <w:bCs/>
          <w:i/>
          <w:iCs/>
          <w:color w:val="000000"/>
          <w:sz w:val="24"/>
          <w:szCs w:val="24"/>
        </w:rPr>
        <w:t>L’attestation de première éducation à la route (APER) et les compétences de l’enfant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/>
          <w:sz w:val="24"/>
          <w:szCs w:val="24"/>
        </w:rPr>
      </w:pPr>
      <w:proofErr w:type="gramStart"/>
      <w:r w:rsidRPr="009240A2">
        <w:rPr>
          <w:rFonts w:cs="Arial"/>
          <w:b/>
          <w:bCs/>
          <w:i/>
          <w:iCs/>
          <w:color w:val="000000"/>
          <w:sz w:val="24"/>
          <w:szCs w:val="24"/>
        </w:rPr>
        <w:t>rouleur</w:t>
      </w:r>
      <w:proofErr w:type="gramEnd"/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L'attestation de première éducation à la route (APER), délivrée au cycle 3, valide l'acquisition de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>règles et comportements liés à l'usage de la rue et de la route et à la connaissance de leur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 xml:space="preserve">justification. </w:t>
      </w: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L’apprentissage du vélo est abordé de façon progressive, dans le cadre de l’APER du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>cycle 1 au cycle 3, avec le développement des compétences de l’enfant « rouleur ». Il s’agit pour les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>élèves d’apprendre à conduire un engin adapté et bien entretenu dans des espaces appropriés, en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>maîtrisant sa conduite et en tenant compte des autres, dans le respect des règles du Code de la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>route.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Le 9 janvier 2018, le comité interministériel de sécurité routière (CISR) a annoncé la généralisation du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>« savoir-rouler à vélo » dont l'objectif est de permettre aux jeunes entrants au collège de maîtriser la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>pratique du vélo de manière autonome et sécurisé dans l'espace public (100 % d’élèves formés au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>« savoir-rouler à vélo » à l’horizon 2022).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Ce programme interministériel et multi-partenarial (fédérations sportives, associations d’usagers de la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>bicyclette, associations de prévention, établissements scolaires voire collectivités locales…) peut être</w:t>
      </w:r>
      <w:r>
        <w:rPr>
          <w:rFonts w:cs="Arial"/>
          <w:color w:val="000000"/>
          <w:sz w:val="24"/>
          <w:szCs w:val="24"/>
        </w:rPr>
        <w:t xml:space="preserve"> </w:t>
      </w:r>
      <w:r w:rsidRPr="009240A2">
        <w:rPr>
          <w:rFonts w:cs="Arial"/>
          <w:color w:val="000000"/>
          <w:sz w:val="24"/>
          <w:szCs w:val="24"/>
        </w:rPr>
        <w:t>déployé sur tous les temps de l’enfant (temps scolaire, périscolaire et extrascolaire).</w:t>
      </w: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Il s’articule autour de trois blocs de compétences à acquérir :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Calibri"/>
          <w:color w:val="000000"/>
          <w:sz w:val="24"/>
          <w:szCs w:val="24"/>
        </w:rPr>
        <w:t xml:space="preserve">→ </w:t>
      </w:r>
      <w:r w:rsidRPr="009240A2">
        <w:rPr>
          <w:rFonts w:cs="Arial"/>
          <w:color w:val="000000"/>
          <w:sz w:val="24"/>
          <w:szCs w:val="24"/>
        </w:rPr>
        <w:t>Bloc 1 « savoir pédaler » : maîtriser les fondamentaux du vélo ;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Calibri"/>
          <w:color w:val="000000"/>
          <w:sz w:val="24"/>
          <w:szCs w:val="24"/>
        </w:rPr>
        <w:t xml:space="preserve">→ </w:t>
      </w:r>
      <w:r w:rsidRPr="009240A2">
        <w:rPr>
          <w:rFonts w:cs="Arial"/>
          <w:color w:val="000000"/>
          <w:sz w:val="24"/>
          <w:szCs w:val="24"/>
        </w:rPr>
        <w:t>Bloc 2 « savoir circuler » : découvrir la mobilité à vélo en milieu sécurisé ;</w:t>
      </w: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Calibri"/>
          <w:color w:val="000000"/>
          <w:sz w:val="24"/>
          <w:szCs w:val="24"/>
        </w:rPr>
        <w:t xml:space="preserve">→ </w:t>
      </w:r>
      <w:r w:rsidRPr="009240A2">
        <w:rPr>
          <w:rFonts w:cs="Arial"/>
          <w:color w:val="000000"/>
          <w:sz w:val="24"/>
          <w:szCs w:val="24"/>
        </w:rPr>
        <w:t>Bloc 3 « savoir rouler » : circuler en situation réelle.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Ces éléments sont propres au SRAV : il ne s’agit pas de compétences inscrites dans le socle commun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de</w:t>
      </w:r>
      <w:proofErr w:type="gramEnd"/>
      <w:r w:rsidRPr="009240A2">
        <w:rPr>
          <w:rFonts w:cs="Arial"/>
          <w:color w:val="000000"/>
          <w:sz w:val="24"/>
          <w:szCs w:val="24"/>
        </w:rPr>
        <w:t xml:space="preserve"> connaissances, de compétences et de culture.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Chacun des partenaires du SRAV (fédérations sportives, associations d’usagers de la bicyclette,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associations</w:t>
      </w:r>
      <w:proofErr w:type="gramEnd"/>
      <w:r w:rsidRPr="009240A2">
        <w:rPr>
          <w:rFonts w:cs="Arial"/>
          <w:color w:val="000000"/>
          <w:sz w:val="24"/>
          <w:szCs w:val="24"/>
        </w:rPr>
        <w:t xml:space="preserve"> de prévention, établissements scolaires, collectivités locales…) peut, en fonction de ses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compétences</w:t>
      </w:r>
      <w:proofErr w:type="gramEnd"/>
      <w:r w:rsidRPr="009240A2">
        <w:rPr>
          <w:rFonts w:cs="Arial"/>
          <w:color w:val="000000"/>
          <w:sz w:val="24"/>
          <w:szCs w:val="24"/>
        </w:rPr>
        <w:t xml:space="preserve"> et du matériel dont il dispose, contribuer à la validation d'un ou plusieurs des blocs.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Les écoles veillent à ce que tous les élèves et leurs familles aient la connaissance des offres de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formation</w:t>
      </w:r>
      <w:proofErr w:type="gramEnd"/>
      <w:r w:rsidRPr="009240A2">
        <w:rPr>
          <w:rFonts w:cs="Arial"/>
          <w:color w:val="000000"/>
          <w:sz w:val="24"/>
          <w:szCs w:val="24"/>
        </w:rPr>
        <w:t xml:space="preserve"> proposées par les structures locales partenaires dans les temps périscolaire et</w:t>
      </w: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extrascolaire</w:t>
      </w:r>
      <w:proofErr w:type="gramEnd"/>
      <w:r w:rsidRPr="009240A2">
        <w:rPr>
          <w:rFonts w:cs="Arial"/>
          <w:color w:val="000000"/>
          <w:sz w:val="24"/>
          <w:szCs w:val="24"/>
        </w:rPr>
        <w:t>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Les écoles délivrent à chaque élève l’attestation scolaire de première éducation à la route, laquelle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participe</w:t>
      </w:r>
      <w:proofErr w:type="gramEnd"/>
      <w:r w:rsidRPr="009240A2">
        <w:rPr>
          <w:rFonts w:cs="Arial"/>
          <w:color w:val="000000"/>
          <w:sz w:val="24"/>
          <w:szCs w:val="24"/>
        </w:rPr>
        <w:t xml:space="preserve"> d’une validation d’une partie du socle commun de compétences du savoir rouler à vélo.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L’acquisition des trois blocs permet la délivrance d’une attestation « savoir rouler à vélo » à l’enfant,</w:t>
      </w: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qui</w:t>
      </w:r>
      <w:proofErr w:type="gramEnd"/>
      <w:r w:rsidRPr="009240A2">
        <w:rPr>
          <w:rFonts w:cs="Arial"/>
          <w:color w:val="000000"/>
          <w:sz w:val="24"/>
          <w:szCs w:val="24"/>
        </w:rPr>
        <w:t xml:space="preserve"> valorise son acquis.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672451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  <w:sz w:val="24"/>
          <w:szCs w:val="24"/>
        </w:rPr>
      </w:pPr>
      <w:r w:rsidRPr="009240A2">
        <w:rPr>
          <w:rFonts w:cs="Arial"/>
          <w:b/>
          <w:bCs/>
          <w:color w:val="000000"/>
          <w:sz w:val="24"/>
          <w:szCs w:val="24"/>
        </w:rPr>
        <w:t>Un site internet dédié à ce programme s’adresse à tous les acteurs concernés :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hyperlink r:id="rId4" w:history="1">
        <w:r w:rsidRPr="00B965E2">
          <w:rPr>
            <w:rStyle w:val="Lienhypertexte"/>
            <w:rFonts w:cs="Arial"/>
            <w:sz w:val="24"/>
            <w:szCs w:val="24"/>
          </w:rPr>
          <w:t>www.savoirrouleravelo.fr</w:t>
        </w:r>
      </w:hyperlink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  <w:sz w:val="24"/>
          <w:szCs w:val="24"/>
        </w:rPr>
      </w:pP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  <w:sz w:val="24"/>
          <w:szCs w:val="24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365F92"/>
          <w:sz w:val="24"/>
          <w:szCs w:val="24"/>
        </w:rPr>
      </w:pPr>
      <w:r w:rsidRPr="009240A2">
        <w:rPr>
          <w:rFonts w:cs="Arial"/>
          <w:b/>
          <w:bCs/>
          <w:color w:val="365F92"/>
          <w:sz w:val="24"/>
          <w:szCs w:val="24"/>
        </w:rPr>
        <w:t>Un réseau d’acteurs mobilisés dans les territoires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 xml:space="preserve">Pour faciliter la mise en </w:t>
      </w:r>
      <w:proofErr w:type="spellStart"/>
      <w:r w:rsidRPr="009240A2">
        <w:rPr>
          <w:rFonts w:cs="Arial"/>
          <w:color w:val="000000"/>
          <w:sz w:val="24"/>
          <w:szCs w:val="24"/>
        </w:rPr>
        <w:t>oeuvre</w:t>
      </w:r>
      <w:proofErr w:type="spellEnd"/>
      <w:r w:rsidRPr="009240A2">
        <w:rPr>
          <w:rFonts w:cs="Arial"/>
          <w:color w:val="000000"/>
          <w:sz w:val="24"/>
          <w:szCs w:val="24"/>
        </w:rPr>
        <w:t xml:space="preserve"> des projets, l’ESR bénéficie d’un réseau constitué au niveau :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- académique, d’un coordonnateur sécurité routière ;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- départemental, de correspondants sécurité pour les 1er et 2nd degrés ;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- des EPLE, d’un référent sécurité routière.</w:t>
      </w: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Le rôle du référent sécurité routière dans l’établissement est fondamental puisqu’il coordonne les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actions</w:t>
      </w:r>
      <w:proofErr w:type="gramEnd"/>
      <w:r w:rsidRPr="009240A2">
        <w:rPr>
          <w:rFonts w:cs="Arial"/>
          <w:color w:val="000000"/>
          <w:sz w:val="24"/>
          <w:szCs w:val="24"/>
        </w:rPr>
        <w:t xml:space="preserve"> dans ce domaine en cohérence avec les autres actions éducatives de l’établissement.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Son nom doit être communiqué chaque année au correspondant départemental sécurité du second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degré</w:t>
      </w:r>
      <w:proofErr w:type="gramEnd"/>
      <w:r w:rsidRPr="009240A2">
        <w:rPr>
          <w:rFonts w:cs="Arial"/>
          <w:color w:val="000000"/>
          <w:sz w:val="24"/>
          <w:szCs w:val="24"/>
        </w:rPr>
        <w:t>.</w:t>
      </w: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Pour les responsables académiques, l’animation de ce réseau est le principal levier de mise en</w:t>
      </w: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spellStart"/>
      <w:proofErr w:type="gramStart"/>
      <w:r w:rsidRPr="009240A2">
        <w:rPr>
          <w:rFonts w:cs="Arial"/>
          <w:color w:val="000000"/>
          <w:sz w:val="24"/>
          <w:szCs w:val="24"/>
        </w:rPr>
        <w:t>oeuvre</w:t>
      </w:r>
      <w:proofErr w:type="spellEnd"/>
      <w:proofErr w:type="gramEnd"/>
      <w:r w:rsidRPr="009240A2">
        <w:rPr>
          <w:rFonts w:cs="Arial"/>
          <w:color w:val="000000"/>
          <w:sz w:val="24"/>
          <w:szCs w:val="24"/>
        </w:rPr>
        <w:t xml:space="preserve"> effective de l’ESR dans les écoles et les établissements scolaires.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Une réunion annuelle des correspondants départementaux et des référents des établissements est</w:t>
      </w: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souhaitable</w:t>
      </w:r>
      <w:proofErr w:type="gramEnd"/>
      <w:r w:rsidRPr="009240A2">
        <w:rPr>
          <w:rFonts w:cs="Arial"/>
          <w:color w:val="000000"/>
          <w:sz w:val="24"/>
          <w:szCs w:val="24"/>
        </w:rPr>
        <w:t xml:space="preserve"> pour les sensibiliser aux enjeux nationaux et locaux de l’ESR.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Le réseau peut s’appuyer également sur les référents sécurité routière du Réseau CANOPÉ.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La désignation de correspondants à chaque niveau (académique, départemental, EPLE) est</w:t>
      </w: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indispensable</w:t>
      </w:r>
      <w:proofErr w:type="gramEnd"/>
      <w:r w:rsidRPr="009240A2">
        <w:rPr>
          <w:rFonts w:cs="Arial"/>
          <w:color w:val="000000"/>
          <w:sz w:val="24"/>
          <w:szCs w:val="24"/>
        </w:rPr>
        <w:t xml:space="preserve"> pour une mise en </w:t>
      </w:r>
      <w:proofErr w:type="spellStart"/>
      <w:r w:rsidRPr="009240A2">
        <w:rPr>
          <w:rFonts w:cs="Arial"/>
          <w:color w:val="000000"/>
          <w:sz w:val="24"/>
          <w:szCs w:val="24"/>
        </w:rPr>
        <w:t>oeuvre</w:t>
      </w:r>
      <w:proofErr w:type="spellEnd"/>
      <w:r w:rsidRPr="009240A2">
        <w:rPr>
          <w:rFonts w:cs="Arial"/>
          <w:color w:val="000000"/>
          <w:sz w:val="24"/>
          <w:szCs w:val="24"/>
        </w:rPr>
        <w:t xml:space="preserve"> cohérente et efficace de l’ESR en milieu scolaire.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Les coordonnateurs académiques et les correspondants départementaux peuvent solliciter une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assistance</w:t>
      </w:r>
      <w:proofErr w:type="gramEnd"/>
      <w:r w:rsidRPr="009240A2">
        <w:rPr>
          <w:rFonts w:cs="Arial"/>
          <w:color w:val="000000"/>
          <w:sz w:val="24"/>
          <w:szCs w:val="24"/>
        </w:rPr>
        <w:t xml:space="preserve"> conseil au montage de projets et une aide à la formation auprès des coordinations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sécurité</w:t>
      </w:r>
      <w:proofErr w:type="gramEnd"/>
      <w:r w:rsidRPr="009240A2">
        <w:rPr>
          <w:rFonts w:cs="Arial"/>
          <w:color w:val="000000"/>
          <w:sz w:val="24"/>
          <w:szCs w:val="24"/>
        </w:rPr>
        <w:t xml:space="preserve"> routière des préfectures ou des directions départementales des territoires (DDT) et des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chargés</w:t>
      </w:r>
      <w:proofErr w:type="gramEnd"/>
      <w:r w:rsidRPr="009240A2">
        <w:rPr>
          <w:rFonts w:cs="Arial"/>
          <w:color w:val="000000"/>
          <w:sz w:val="24"/>
          <w:szCs w:val="24"/>
        </w:rPr>
        <w:t xml:space="preserve"> de mission sécurité routière des pôles d’appui de sécurité routière (PASR) relevant des</w:t>
      </w: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directions</w:t>
      </w:r>
      <w:proofErr w:type="gramEnd"/>
      <w:r w:rsidRPr="009240A2">
        <w:rPr>
          <w:rFonts w:cs="Arial"/>
          <w:color w:val="000000"/>
          <w:sz w:val="24"/>
          <w:szCs w:val="24"/>
        </w:rPr>
        <w:t xml:space="preserve"> régionales de l’environnement, de l’aménagement et du logement (DREAL).</w:t>
      </w:r>
    </w:p>
    <w:p w:rsid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00"/>
          <w:sz w:val="24"/>
          <w:szCs w:val="24"/>
        </w:rPr>
        <w:t>Les équipes éducatives et pédagogiques peuvent, par ailleurs, s’appuyer sur le site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240A2">
        <w:rPr>
          <w:rFonts w:cs="Arial"/>
          <w:color w:val="0000FF"/>
          <w:sz w:val="24"/>
          <w:szCs w:val="24"/>
        </w:rPr>
        <w:t xml:space="preserve">http://eduscol.education.fr/education-securite-routiere/ </w:t>
      </w:r>
      <w:r w:rsidRPr="009240A2">
        <w:rPr>
          <w:rFonts w:cs="Arial"/>
          <w:color w:val="000000"/>
          <w:sz w:val="24"/>
          <w:szCs w:val="24"/>
        </w:rPr>
        <w:t>pour disposer d’outils, d'information sur les</w:t>
      </w:r>
    </w:p>
    <w:p w:rsidR="009240A2" w:rsidRPr="009240A2" w:rsidRDefault="009240A2" w:rsidP="009240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9240A2">
        <w:rPr>
          <w:rFonts w:cs="Arial"/>
          <w:color w:val="000000"/>
          <w:sz w:val="24"/>
          <w:szCs w:val="24"/>
        </w:rPr>
        <w:t>partenaires</w:t>
      </w:r>
      <w:proofErr w:type="gramEnd"/>
      <w:r w:rsidRPr="009240A2">
        <w:rPr>
          <w:rFonts w:cs="Arial"/>
          <w:color w:val="000000"/>
          <w:sz w:val="24"/>
          <w:szCs w:val="24"/>
        </w:rPr>
        <w:t xml:space="preserve"> et des ressources afin de mener à bien leurs actions.</w:t>
      </w:r>
    </w:p>
    <w:sectPr w:rsidR="009240A2" w:rsidRPr="009240A2" w:rsidSect="00924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A2"/>
    <w:rsid w:val="00672451"/>
    <w:rsid w:val="009240A2"/>
    <w:rsid w:val="00F9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9FED"/>
  <w15:chartTrackingRefBased/>
  <w15:docId w15:val="{1A8BB056-98FF-46CE-813B-F53AB48A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4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voirrouleravel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920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Liautard Marina</dc:creator>
  <cp:keywords/>
  <dc:description/>
  <cp:lastModifiedBy>Liautard Marina</cp:lastModifiedBy>
  <cp:revision>1</cp:revision>
  <dcterms:created xsi:type="dcterms:W3CDTF">2020-02-20T13:17:00Z</dcterms:created>
  <dcterms:modified xsi:type="dcterms:W3CDTF">2020-02-20T13:28:00Z</dcterms:modified>
</cp:coreProperties>
</file>