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601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076A7E" w:rsidRPr="00DE4BCD" w:rsidTr="00076A7E">
        <w:tc>
          <w:tcPr>
            <w:tcW w:w="10627" w:type="dxa"/>
            <w:gridSpan w:val="2"/>
            <w:shd w:val="clear" w:color="auto" w:fill="E7E6E6" w:themeFill="background2"/>
            <w:vAlign w:val="bottom"/>
          </w:tcPr>
          <w:p w:rsidR="00076A7E" w:rsidRPr="00D600F8" w:rsidRDefault="00076A7E" w:rsidP="00076A7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600F8">
              <w:rPr>
                <w:b/>
                <w:sz w:val="28"/>
                <w:szCs w:val="28"/>
              </w:rPr>
              <w:t>Grille d’aide au repérage des obstacles à la compréhension des histoires entendues,</w:t>
            </w:r>
          </w:p>
          <w:p w:rsidR="00076A7E" w:rsidRPr="00DE4BCD" w:rsidRDefault="00076A7E" w:rsidP="00076A7E">
            <w:pPr>
              <w:jc w:val="center"/>
              <w:rPr>
                <w:b/>
              </w:rPr>
            </w:pPr>
            <w:r w:rsidRPr="00D600F8">
              <w:rPr>
                <w:b/>
                <w:sz w:val="28"/>
                <w:szCs w:val="28"/>
              </w:rPr>
              <w:t>en lien avec le texte support</w:t>
            </w:r>
          </w:p>
        </w:tc>
      </w:tr>
      <w:tr w:rsidR="00076A7E" w:rsidRPr="00DE4BCD" w:rsidTr="00076A7E">
        <w:tc>
          <w:tcPr>
            <w:tcW w:w="10627" w:type="dxa"/>
            <w:gridSpan w:val="2"/>
            <w:vAlign w:val="center"/>
          </w:tcPr>
          <w:p w:rsidR="00076A7E" w:rsidRDefault="00076A7E" w:rsidP="00076A7E">
            <w:pPr>
              <w:rPr>
                <w:b/>
              </w:rPr>
            </w:pPr>
          </w:p>
          <w:p w:rsidR="00076A7E" w:rsidRDefault="00076A7E" w:rsidP="00076A7E">
            <w:pPr>
              <w:rPr>
                <w:b/>
              </w:rPr>
            </w:pPr>
            <w:r w:rsidRPr="0048283E">
              <w:rPr>
                <w:b/>
              </w:rPr>
              <w:t xml:space="preserve">Titre : </w:t>
            </w:r>
            <w:r>
              <w:rPr>
                <w:b/>
              </w:rPr>
              <w:t xml:space="preserve">     </w:t>
            </w:r>
          </w:p>
          <w:p w:rsidR="00076A7E" w:rsidRDefault="00076A7E" w:rsidP="00076A7E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</w:p>
          <w:p w:rsidR="00076A7E" w:rsidRDefault="00076A7E" w:rsidP="00076A7E">
            <w:pPr>
              <w:rPr>
                <w:b/>
              </w:rPr>
            </w:pPr>
            <w:r w:rsidRPr="0048283E">
              <w:rPr>
                <w:b/>
              </w:rPr>
              <w:t xml:space="preserve">Auteur : </w:t>
            </w:r>
            <w:r>
              <w:rPr>
                <w:b/>
              </w:rPr>
              <w:t xml:space="preserve">                                                                                 </w:t>
            </w:r>
            <w:r w:rsidRPr="0048283E">
              <w:rPr>
                <w:b/>
              </w:rPr>
              <w:t>Illustrateur :</w:t>
            </w:r>
            <w:r>
              <w:rPr>
                <w:b/>
              </w:rPr>
              <w:t xml:space="preserve">                     </w:t>
            </w:r>
          </w:p>
          <w:p w:rsidR="00076A7E" w:rsidRDefault="00076A7E" w:rsidP="00076A7E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48283E">
              <w:rPr>
                <w:b/>
              </w:rPr>
              <w:t xml:space="preserve"> </w:t>
            </w:r>
          </w:p>
          <w:p w:rsidR="00076A7E" w:rsidRDefault="00076A7E" w:rsidP="00076A7E">
            <w:pPr>
              <w:rPr>
                <w:b/>
              </w:rPr>
            </w:pPr>
            <w:r>
              <w:rPr>
                <w:b/>
              </w:rPr>
              <w:t xml:space="preserve">Editeur : </w:t>
            </w:r>
          </w:p>
          <w:p w:rsidR="00076A7E" w:rsidRPr="00DE4BCD" w:rsidRDefault="00076A7E" w:rsidP="00076A7E">
            <w:pPr>
              <w:rPr>
                <w:b/>
              </w:rPr>
            </w:pPr>
          </w:p>
        </w:tc>
      </w:tr>
      <w:tr w:rsidR="00076A7E" w:rsidTr="00076A7E">
        <w:tc>
          <w:tcPr>
            <w:tcW w:w="2972" w:type="dxa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Construction du récit</w:t>
            </w:r>
            <w:r w:rsidRPr="00BE44D9">
              <w:t xml:space="preserve"> : </w:t>
            </w:r>
          </w:p>
          <w:p w:rsidR="00076A7E" w:rsidRDefault="00076A7E" w:rsidP="00076A7E">
            <w:proofErr w:type="gramStart"/>
            <w:r w:rsidRPr="00BE44D9">
              <w:t>schéma</w:t>
            </w:r>
            <w:proofErr w:type="gramEnd"/>
            <w:r w:rsidRPr="00BE44D9">
              <w:t xml:space="preserve"> classique, construction répétitive, structure en boucle…</w:t>
            </w:r>
          </w:p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c>
          <w:tcPr>
            <w:tcW w:w="2972" w:type="dxa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La fin de l’histoire</w:t>
            </w:r>
            <w:r w:rsidRPr="0043785E">
              <w:t xml:space="preserve"> : </w:t>
            </w:r>
          </w:p>
          <w:p w:rsidR="00076A7E" w:rsidRDefault="00076A7E" w:rsidP="00076A7E">
            <w:proofErr w:type="gramStart"/>
            <w:r w:rsidRPr="0043785E">
              <w:t>fin</w:t>
            </w:r>
            <w:proofErr w:type="gramEnd"/>
            <w:r w:rsidRPr="0043785E">
              <w:t xml:space="preserve"> heureuse, malheureuse, ambiguë, fin qui renvoie au début…</w:t>
            </w:r>
          </w:p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402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Le lexique</w:t>
            </w:r>
            <w:r>
              <w:t xml:space="preserve"> : </w:t>
            </w:r>
          </w:p>
          <w:p w:rsidR="00076A7E" w:rsidRDefault="00076A7E" w:rsidP="00076A7E">
            <w:proofErr w:type="gramStart"/>
            <w:r>
              <w:t>mots</w:t>
            </w:r>
            <w:proofErr w:type="gramEnd"/>
            <w:r>
              <w:t xml:space="preserve"> inconnus, expressions inconnues, mots utilisés au sens figuré</w:t>
            </w:r>
          </w:p>
          <w:p w:rsidR="00076A7E" w:rsidRDefault="00076A7E" w:rsidP="00076A7E"/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116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La syntaxe</w:t>
            </w:r>
            <w:r>
              <w:t> :</w:t>
            </w:r>
          </w:p>
          <w:p w:rsidR="00076A7E" w:rsidRDefault="00076A7E" w:rsidP="00076A7E">
            <w:r>
              <w:t xml:space="preserve">Connecteurs, style direct, indirect, présence de </w:t>
            </w:r>
            <w:proofErr w:type="gramStart"/>
            <w:r>
              <w:t>dialogues,  ...</w:t>
            </w:r>
            <w:proofErr w:type="gramEnd"/>
          </w:p>
          <w:p w:rsidR="00076A7E" w:rsidRDefault="00076A7E" w:rsidP="00076A7E"/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558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 xml:space="preserve">L’implicite du texte </w:t>
            </w:r>
            <w:r>
              <w:rPr>
                <w:b/>
              </w:rPr>
              <w:t xml:space="preserve">plus ou moins important </w:t>
            </w:r>
            <w:r w:rsidRPr="00D600F8">
              <w:rPr>
                <w:b/>
              </w:rPr>
              <w:t>et les inférences nécessaires</w:t>
            </w:r>
            <w:r>
              <w:t> :</w:t>
            </w:r>
          </w:p>
          <w:p w:rsidR="00076A7E" w:rsidRDefault="00076A7E" w:rsidP="00076A7E">
            <w:proofErr w:type="gramStart"/>
            <w:r>
              <w:t>univers</w:t>
            </w:r>
            <w:proofErr w:type="gramEnd"/>
            <w:r>
              <w:t xml:space="preserve"> de référence, connaissances littéraires, présence de personnages</w:t>
            </w:r>
          </w:p>
          <w:p w:rsidR="00076A7E" w:rsidRDefault="00076A7E" w:rsidP="00076A7E">
            <w:proofErr w:type="gramStart"/>
            <w:r>
              <w:t>stéréotypés</w:t>
            </w:r>
            <w:proofErr w:type="gramEnd"/>
            <w:r>
              <w:t xml:space="preserve"> (ogre, loup, vampire,…)</w:t>
            </w:r>
          </w:p>
          <w:p w:rsidR="00076A7E" w:rsidRDefault="00076A7E" w:rsidP="00076A7E"/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833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L’identification des personnages</w:t>
            </w:r>
            <w:r>
              <w:t xml:space="preserve"> : </w:t>
            </w:r>
          </w:p>
          <w:p w:rsidR="00076A7E" w:rsidRDefault="00076A7E" w:rsidP="00076A7E">
            <w:proofErr w:type="gramStart"/>
            <w:r>
              <w:t>caractérisation</w:t>
            </w:r>
            <w:proofErr w:type="gramEnd"/>
            <w:r>
              <w:t>, différentes façons de nommer les personnages (anaphores, pronoms), personnage principal, secondaire, relations entre les personnages, buts des personnages identifiables ou non …</w:t>
            </w:r>
          </w:p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968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 xml:space="preserve">L’énonciation : </w:t>
            </w:r>
            <w:r>
              <w:t>personnage principal, autre personnage de l’histoire, personnage extérieur à l’histoire, auteur</w:t>
            </w:r>
          </w:p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538"/>
        </w:trPr>
        <w:tc>
          <w:tcPr>
            <w:tcW w:w="2972" w:type="dxa"/>
            <w:vAlign w:val="center"/>
          </w:tcPr>
          <w:p w:rsidR="00076A7E" w:rsidRDefault="00076A7E" w:rsidP="00076A7E">
            <w:r w:rsidRPr="00D600F8">
              <w:rPr>
                <w:b/>
              </w:rPr>
              <w:t>La technique de narration</w:t>
            </w:r>
            <w:r>
              <w:t> : passage du style direct au style indirect, ….</w:t>
            </w:r>
          </w:p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1702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Default="00076A7E" w:rsidP="00076A7E">
            <w:r w:rsidRPr="00D600F8">
              <w:rPr>
                <w:b/>
              </w:rPr>
              <w:t>La chronologie de l’histoire</w:t>
            </w:r>
            <w:r>
              <w:t> :</w:t>
            </w:r>
          </w:p>
          <w:p w:rsidR="00076A7E" w:rsidRDefault="00076A7E" w:rsidP="00076A7E">
            <w:proofErr w:type="gramStart"/>
            <w:r>
              <w:t>linéaire</w:t>
            </w:r>
            <w:proofErr w:type="gramEnd"/>
            <w:r>
              <w:t>, perturbée, des retours en arrière (feedbacks), des « blancs », enchâssement des récits, …</w:t>
            </w:r>
          </w:p>
          <w:p w:rsidR="00076A7E" w:rsidRDefault="00076A7E" w:rsidP="00076A7E">
            <w:pPr>
              <w:rPr>
                <w:i/>
              </w:rPr>
            </w:pPr>
          </w:p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844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Pr="00196D8E" w:rsidRDefault="00076A7E" w:rsidP="00076A7E">
            <w:pPr>
              <w:rPr>
                <w:b/>
              </w:rPr>
            </w:pPr>
          </w:p>
          <w:p w:rsidR="00076A7E" w:rsidRPr="00196D8E" w:rsidRDefault="00076A7E" w:rsidP="00076A7E">
            <w:r w:rsidRPr="00196D8E">
              <w:rPr>
                <w:b/>
              </w:rPr>
              <w:t>Le rapport texte-illustration</w:t>
            </w:r>
            <w:r>
              <w:rPr>
                <w:b/>
              </w:rPr>
              <w:t xml:space="preserve"> : </w:t>
            </w:r>
            <w:r w:rsidRPr="00196D8E">
              <w:rPr>
                <w:b/>
              </w:rPr>
              <w:t xml:space="preserve"> </w:t>
            </w:r>
            <w:r w:rsidRPr="00196D8E">
              <w:t>Un texte autonome peut être lu et compris sans présentation des illustrations</w:t>
            </w:r>
          </w:p>
          <w:p w:rsidR="00076A7E" w:rsidRPr="00196D8E" w:rsidRDefault="00076A7E" w:rsidP="00076A7E"/>
          <w:p w:rsidR="00076A7E" w:rsidRDefault="00076A7E" w:rsidP="00076A7E"/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  <w:tr w:rsidR="00076A7E" w:rsidTr="00076A7E">
        <w:trPr>
          <w:trHeight w:val="2355"/>
        </w:trPr>
        <w:tc>
          <w:tcPr>
            <w:tcW w:w="2972" w:type="dxa"/>
            <w:vAlign w:val="center"/>
          </w:tcPr>
          <w:p w:rsidR="00076A7E" w:rsidRDefault="00076A7E" w:rsidP="00076A7E"/>
          <w:p w:rsidR="00076A7E" w:rsidRPr="00D600F8" w:rsidRDefault="00076A7E" w:rsidP="00076A7E">
            <w:pPr>
              <w:rPr>
                <w:b/>
              </w:rPr>
            </w:pPr>
            <w:r w:rsidRPr="00D600F8">
              <w:rPr>
                <w:b/>
              </w:rPr>
              <w:t>Autres</w:t>
            </w:r>
          </w:p>
          <w:p w:rsidR="00076A7E" w:rsidRDefault="00076A7E" w:rsidP="00076A7E"/>
        </w:tc>
        <w:tc>
          <w:tcPr>
            <w:tcW w:w="7655" w:type="dxa"/>
          </w:tcPr>
          <w:p w:rsidR="00076A7E" w:rsidRDefault="00076A7E" w:rsidP="00076A7E"/>
        </w:tc>
      </w:tr>
    </w:tbl>
    <w:p w:rsidR="00C84FE9" w:rsidRDefault="00076A7E"/>
    <w:sectPr w:rsidR="00C8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7E"/>
    <w:rsid w:val="00076A7E"/>
    <w:rsid w:val="005B03A6"/>
    <w:rsid w:val="009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37DB5-770F-4CA4-AFCE-E662DA38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1</cp:revision>
  <dcterms:created xsi:type="dcterms:W3CDTF">2019-01-22T08:51:00Z</dcterms:created>
  <dcterms:modified xsi:type="dcterms:W3CDTF">2019-01-22T08:53:00Z</dcterms:modified>
</cp:coreProperties>
</file>